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2634A" w:rsidRDefault="00193F10" w:rsidP="00194AA6">
      <w:pPr>
        <w:jc w:val="center"/>
        <w:rPr>
          <w:sz w:val="22"/>
          <w:szCs w:val="22"/>
        </w:rPr>
      </w:pPr>
    </w:p>
    <w:p w:rsidR="00193F10" w:rsidRPr="0012634A" w:rsidRDefault="00B137D7" w:rsidP="00194AA6">
      <w:pPr>
        <w:jc w:val="center"/>
      </w:pPr>
      <w:r w:rsidRPr="0012634A">
        <w:rPr>
          <w:noProof/>
        </w:rPr>
        <w:drawing>
          <wp:inline distT="0" distB="0" distL="0" distR="0">
            <wp:extent cx="1716405" cy="112141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6405" cy="1121410"/>
                    </a:xfrm>
                    <a:prstGeom prst="rect">
                      <a:avLst/>
                    </a:prstGeom>
                    <a:noFill/>
                    <a:ln w="9525">
                      <a:noFill/>
                      <a:miter lim="800000"/>
                      <a:headEnd/>
                      <a:tailEnd/>
                    </a:ln>
                  </pic:spPr>
                </pic:pic>
              </a:graphicData>
            </a:graphic>
          </wp:inline>
        </w:drawing>
      </w:r>
    </w:p>
    <w:p w:rsidR="001771DC" w:rsidRPr="0012634A" w:rsidRDefault="001771DC" w:rsidP="00194AA6">
      <w:pPr>
        <w:jc w:val="center"/>
        <w:rPr>
          <w:sz w:val="22"/>
          <w:szCs w:val="22"/>
        </w:rPr>
      </w:pPr>
    </w:p>
    <w:p w:rsidR="00193F10" w:rsidRPr="0012634A" w:rsidRDefault="00193F10" w:rsidP="00194AA6">
      <w:pPr>
        <w:pStyle w:val="Heading3"/>
        <w:rPr>
          <w:b/>
          <w:sz w:val="22"/>
          <w:szCs w:val="22"/>
        </w:rPr>
      </w:pPr>
      <w:r w:rsidRPr="0012634A">
        <w:rPr>
          <w:b/>
          <w:sz w:val="22"/>
          <w:szCs w:val="22"/>
        </w:rPr>
        <w:t>TECHNICAL EVALUATION</w:t>
      </w:r>
    </w:p>
    <w:p w:rsidR="00193F10" w:rsidRPr="0012634A" w:rsidRDefault="00193F10" w:rsidP="00194AA6">
      <w:pPr>
        <w:jc w:val="center"/>
        <w:rPr>
          <w:b/>
          <w:sz w:val="22"/>
          <w:szCs w:val="22"/>
        </w:rPr>
      </w:pPr>
      <w:r w:rsidRPr="0012634A">
        <w:rPr>
          <w:b/>
          <w:sz w:val="22"/>
          <w:szCs w:val="22"/>
        </w:rPr>
        <w:t>&amp;</w:t>
      </w:r>
    </w:p>
    <w:p w:rsidR="00193F10" w:rsidRPr="0012634A" w:rsidRDefault="00193F10" w:rsidP="00194AA6">
      <w:pPr>
        <w:jc w:val="center"/>
        <w:rPr>
          <w:b/>
          <w:sz w:val="22"/>
          <w:szCs w:val="22"/>
        </w:rPr>
      </w:pPr>
      <w:r w:rsidRPr="0012634A">
        <w:rPr>
          <w:b/>
          <w:sz w:val="22"/>
          <w:szCs w:val="22"/>
        </w:rPr>
        <w:t>PRELIMINARY DETERMINATION</w:t>
      </w:r>
    </w:p>
    <w:p w:rsidR="00193F10" w:rsidRPr="0012634A" w:rsidRDefault="00193F10" w:rsidP="00194AA6">
      <w:pPr>
        <w:jc w:val="center"/>
        <w:rPr>
          <w:sz w:val="22"/>
          <w:szCs w:val="22"/>
        </w:rPr>
      </w:pPr>
    </w:p>
    <w:p w:rsidR="00193F10" w:rsidRPr="00A036B3" w:rsidRDefault="00193F10" w:rsidP="00194AA6">
      <w:pPr>
        <w:jc w:val="center"/>
        <w:rPr>
          <w:sz w:val="22"/>
          <w:szCs w:val="22"/>
        </w:rPr>
      </w:pPr>
    </w:p>
    <w:p w:rsidR="00193F10" w:rsidRPr="00A036B3" w:rsidRDefault="00193F10" w:rsidP="00194AA6">
      <w:pPr>
        <w:jc w:val="center"/>
        <w:rPr>
          <w:sz w:val="22"/>
          <w:szCs w:val="22"/>
        </w:rPr>
      </w:pPr>
    </w:p>
    <w:p w:rsidR="00194AA6" w:rsidRPr="00A036B3" w:rsidRDefault="00194AA6" w:rsidP="00194AA6">
      <w:pPr>
        <w:pStyle w:val="Heading4"/>
        <w:spacing w:after="120"/>
        <w:rPr>
          <w:bCs/>
          <w:szCs w:val="22"/>
        </w:rPr>
      </w:pPr>
      <w:r w:rsidRPr="00A036B3">
        <w:rPr>
          <w:bCs/>
          <w:szCs w:val="22"/>
        </w:rPr>
        <w:t>APPLICANT</w:t>
      </w:r>
    </w:p>
    <w:p w:rsidR="008E370B" w:rsidRPr="00A036B3" w:rsidRDefault="0012634A" w:rsidP="008E370B">
      <w:pPr>
        <w:widowControl w:val="0"/>
        <w:jc w:val="center"/>
        <w:rPr>
          <w:sz w:val="22"/>
          <w:szCs w:val="22"/>
        </w:rPr>
      </w:pPr>
      <w:r w:rsidRPr="00A036B3">
        <w:rPr>
          <w:sz w:val="22"/>
          <w:szCs w:val="22"/>
        </w:rPr>
        <w:t>Gulf Power Company</w:t>
      </w:r>
    </w:p>
    <w:p w:rsidR="008E370B" w:rsidRPr="00A036B3" w:rsidRDefault="0012634A" w:rsidP="008E370B">
      <w:pPr>
        <w:widowControl w:val="0"/>
        <w:jc w:val="center"/>
        <w:rPr>
          <w:sz w:val="22"/>
          <w:szCs w:val="22"/>
        </w:rPr>
      </w:pPr>
      <w:r w:rsidRPr="00A036B3">
        <w:rPr>
          <w:sz w:val="22"/>
          <w:szCs w:val="22"/>
        </w:rPr>
        <w:t>One Energy Place</w:t>
      </w:r>
    </w:p>
    <w:p w:rsidR="008E370B" w:rsidRPr="00A036B3" w:rsidRDefault="0012634A" w:rsidP="008E370B">
      <w:pPr>
        <w:widowControl w:val="0"/>
        <w:jc w:val="center"/>
        <w:rPr>
          <w:sz w:val="22"/>
          <w:szCs w:val="22"/>
        </w:rPr>
      </w:pPr>
      <w:r w:rsidRPr="00A036B3">
        <w:rPr>
          <w:sz w:val="22"/>
          <w:szCs w:val="22"/>
        </w:rPr>
        <w:t>Pensacola, Florida  32520-0100</w:t>
      </w:r>
    </w:p>
    <w:p w:rsidR="00194AA6" w:rsidRDefault="00194AA6" w:rsidP="00194AA6">
      <w:pPr>
        <w:widowControl w:val="0"/>
        <w:jc w:val="center"/>
        <w:rPr>
          <w:sz w:val="22"/>
          <w:szCs w:val="22"/>
        </w:rPr>
      </w:pPr>
    </w:p>
    <w:p w:rsidR="00E81AAC" w:rsidRDefault="00E81AAC" w:rsidP="00194AA6">
      <w:pPr>
        <w:widowControl w:val="0"/>
        <w:jc w:val="center"/>
        <w:rPr>
          <w:sz w:val="22"/>
          <w:szCs w:val="22"/>
        </w:rPr>
      </w:pPr>
    </w:p>
    <w:p w:rsidR="00E81AAC" w:rsidRPr="00A036B3" w:rsidRDefault="00E81AAC" w:rsidP="00194AA6">
      <w:pPr>
        <w:widowControl w:val="0"/>
        <w:jc w:val="center"/>
        <w:rPr>
          <w:sz w:val="22"/>
          <w:szCs w:val="22"/>
        </w:rPr>
      </w:pPr>
    </w:p>
    <w:p w:rsidR="008E370B" w:rsidRPr="00A036B3" w:rsidRDefault="0012634A" w:rsidP="00194AA6">
      <w:pPr>
        <w:widowControl w:val="0"/>
        <w:jc w:val="center"/>
        <w:rPr>
          <w:sz w:val="22"/>
          <w:szCs w:val="22"/>
        </w:rPr>
      </w:pPr>
      <w:r w:rsidRPr="00A036B3">
        <w:rPr>
          <w:sz w:val="22"/>
          <w:szCs w:val="22"/>
        </w:rPr>
        <w:t>Lansing Smith Electric Generating Plant</w:t>
      </w:r>
    </w:p>
    <w:p w:rsidR="00194AA6" w:rsidRPr="00A036B3" w:rsidRDefault="00194AA6" w:rsidP="00194AA6">
      <w:pPr>
        <w:widowControl w:val="0"/>
        <w:jc w:val="center"/>
        <w:rPr>
          <w:sz w:val="22"/>
          <w:szCs w:val="22"/>
        </w:rPr>
      </w:pPr>
      <w:r w:rsidRPr="00A036B3">
        <w:rPr>
          <w:sz w:val="22"/>
          <w:szCs w:val="22"/>
        </w:rPr>
        <w:t xml:space="preserve">Facility ID No. </w:t>
      </w:r>
      <w:r w:rsidR="0012634A" w:rsidRPr="00A036B3">
        <w:rPr>
          <w:sz w:val="22"/>
          <w:szCs w:val="22"/>
        </w:rPr>
        <w:t>0050014</w:t>
      </w:r>
    </w:p>
    <w:p w:rsidR="00194AA6" w:rsidRPr="00A036B3" w:rsidRDefault="00194AA6" w:rsidP="00194AA6">
      <w:pPr>
        <w:jc w:val="center"/>
        <w:rPr>
          <w:sz w:val="22"/>
        </w:rPr>
      </w:pPr>
    </w:p>
    <w:p w:rsidR="00194AA6" w:rsidRPr="00A036B3" w:rsidRDefault="00194AA6" w:rsidP="00194AA6">
      <w:pPr>
        <w:jc w:val="center"/>
        <w:rPr>
          <w:sz w:val="22"/>
        </w:rPr>
      </w:pPr>
    </w:p>
    <w:p w:rsidR="00194AA6" w:rsidRPr="00A036B3" w:rsidRDefault="00194AA6" w:rsidP="00194AA6">
      <w:pPr>
        <w:jc w:val="center"/>
        <w:rPr>
          <w:sz w:val="22"/>
        </w:rPr>
      </w:pPr>
    </w:p>
    <w:p w:rsidR="00193F10" w:rsidRPr="00A036B3" w:rsidRDefault="00193F10" w:rsidP="00194AA6">
      <w:pPr>
        <w:pStyle w:val="Heading4"/>
        <w:spacing w:after="120"/>
        <w:rPr>
          <w:bCs/>
        </w:rPr>
      </w:pPr>
      <w:r w:rsidRPr="00A036B3">
        <w:rPr>
          <w:bCs/>
        </w:rPr>
        <w:t>PROJECT</w:t>
      </w:r>
    </w:p>
    <w:p w:rsidR="00193F10" w:rsidRPr="000A1935" w:rsidRDefault="00193F10" w:rsidP="00194AA6">
      <w:pPr>
        <w:pStyle w:val="Heading1"/>
        <w:spacing w:after="0"/>
        <w:ind w:left="0"/>
        <w:jc w:val="center"/>
        <w:rPr>
          <w:sz w:val="22"/>
        </w:rPr>
      </w:pPr>
      <w:r w:rsidRPr="000A1935">
        <w:rPr>
          <w:sz w:val="22"/>
        </w:rPr>
        <w:t>P</w:t>
      </w:r>
      <w:r w:rsidR="00194AA6" w:rsidRPr="000A1935">
        <w:rPr>
          <w:sz w:val="22"/>
        </w:rPr>
        <w:t>roject</w:t>
      </w:r>
      <w:r w:rsidRPr="000A1935">
        <w:rPr>
          <w:sz w:val="22"/>
        </w:rPr>
        <w:t xml:space="preserve"> No. </w:t>
      </w:r>
      <w:r w:rsidR="0012634A" w:rsidRPr="000A1935">
        <w:rPr>
          <w:sz w:val="22"/>
        </w:rPr>
        <w:t>0050014-02</w:t>
      </w:r>
      <w:r w:rsidR="00C939C9">
        <w:rPr>
          <w:sz w:val="22"/>
        </w:rPr>
        <w:t>4</w:t>
      </w:r>
      <w:r w:rsidR="008603FF" w:rsidRPr="000A1935">
        <w:rPr>
          <w:sz w:val="22"/>
        </w:rPr>
        <w:t>-AC</w:t>
      </w:r>
    </w:p>
    <w:p w:rsidR="008B55C1" w:rsidRPr="00177251" w:rsidRDefault="008B55C1" w:rsidP="008B55C1">
      <w:pPr>
        <w:tabs>
          <w:tab w:val="left" w:pos="360"/>
          <w:tab w:val="left" w:pos="720"/>
          <w:tab w:val="left" w:pos="1080"/>
          <w:tab w:val="left" w:pos="1440"/>
          <w:tab w:val="right" w:pos="10080"/>
        </w:tabs>
        <w:jc w:val="center"/>
        <w:rPr>
          <w:sz w:val="22"/>
          <w:szCs w:val="22"/>
        </w:rPr>
      </w:pPr>
      <w:r w:rsidRPr="00177251">
        <w:rPr>
          <w:sz w:val="22"/>
          <w:szCs w:val="22"/>
        </w:rPr>
        <w:t>Test Burn of Emissions Control Sorbent Additives</w:t>
      </w:r>
    </w:p>
    <w:p w:rsidR="00193F10" w:rsidRPr="000A1935" w:rsidRDefault="00193F10" w:rsidP="00194AA6">
      <w:pPr>
        <w:jc w:val="center"/>
        <w:rPr>
          <w:sz w:val="22"/>
          <w:szCs w:val="22"/>
        </w:rPr>
      </w:pPr>
    </w:p>
    <w:p w:rsidR="00193F10" w:rsidRDefault="00193F10" w:rsidP="00194AA6">
      <w:pPr>
        <w:jc w:val="center"/>
        <w:rPr>
          <w:sz w:val="22"/>
        </w:rPr>
      </w:pPr>
    </w:p>
    <w:p w:rsidR="00E81AAC" w:rsidRPr="000A1935" w:rsidRDefault="00E81AAC" w:rsidP="00194AA6">
      <w:pPr>
        <w:jc w:val="center"/>
        <w:rPr>
          <w:sz w:val="22"/>
        </w:rPr>
      </w:pPr>
    </w:p>
    <w:p w:rsidR="00193F10" w:rsidRPr="000A1935" w:rsidRDefault="00193F10" w:rsidP="00194AA6">
      <w:pPr>
        <w:jc w:val="center"/>
        <w:rPr>
          <w:sz w:val="22"/>
        </w:rPr>
      </w:pPr>
    </w:p>
    <w:p w:rsidR="00193F10" w:rsidRPr="000A1935" w:rsidRDefault="00193F10" w:rsidP="00194AA6">
      <w:pPr>
        <w:pStyle w:val="Heading4"/>
        <w:spacing w:after="120"/>
        <w:rPr>
          <w:bCs/>
        </w:rPr>
      </w:pPr>
      <w:r w:rsidRPr="000A1935">
        <w:rPr>
          <w:bCs/>
        </w:rPr>
        <w:t>COUNTY</w:t>
      </w:r>
    </w:p>
    <w:p w:rsidR="00193F10" w:rsidRPr="000A1935" w:rsidRDefault="0012634A" w:rsidP="00194AA6">
      <w:pPr>
        <w:jc w:val="center"/>
        <w:rPr>
          <w:sz w:val="22"/>
        </w:rPr>
      </w:pPr>
      <w:r w:rsidRPr="000A1935">
        <w:rPr>
          <w:sz w:val="22"/>
        </w:rPr>
        <w:t>Bay</w:t>
      </w:r>
      <w:r w:rsidR="001D1649" w:rsidRPr="000A1935">
        <w:rPr>
          <w:sz w:val="22"/>
        </w:rPr>
        <w:t xml:space="preserve"> </w:t>
      </w:r>
      <w:r w:rsidR="00193F10" w:rsidRPr="000A1935">
        <w:rPr>
          <w:sz w:val="22"/>
        </w:rPr>
        <w:t>County</w:t>
      </w:r>
      <w:r w:rsidR="001D487F" w:rsidRPr="000A1935">
        <w:rPr>
          <w:sz w:val="22"/>
        </w:rPr>
        <w:t>, Florida</w:t>
      </w:r>
    </w:p>
    <w:p w:rsidR="00193F10" w:rsidRPr="000A1935" w:rsidRDefault="00193F10" w:rsidP="00194AA6">
      <w:pPr>
        <w:jc w:val="center"/>
        <w:rPr>
          <w:sz w:val="22"/>
          <w:u w:val="single"/>
        </w:rPr>
      </w:pPr>
    </w:p>
    <w:p w:rsidR="00193F10" w:rsidRPr="000A1935" w:rsidRDefault="00193F10" w:rsidP="00194AA6">
      <w:pPr>
        <w:jc w:val="center"/>
        <w:rPr>
          <w:sz w:val="22"/>
          <w:u w:val="single"/>
        </w:rPr>
      </w:pPr>
    </w:p>
    <w:p w:rsidR="00193F10" w:rsidRPr="000A1935" w:rsidRDefault="00193F10" w:rsidP="00194AA6">
      <w:pPr>
        <w:jc w:val="center"/>
        <w:rPr>
          <w:sz w:val="22"/>
        </w:rPr>
      </w:pPr>
    </w:p>
    <w:p w:rsidR="00193F10" w:rsidRPr="000A1935" w:rsidRDefault="00193F10" w:rsidP="00194AA6">
      <w:pPr>
        <w:pStyle w:val="Heading8"/>
        <w:jc w:val="center"/>
      </w:pPr>
      <w:r w:rsidRPr="000A1935">
        <w:t>PERMITTING</w:t>
      </w:r>
      <w:r w:rsidR="001D487F" w:rsidRPr="000A1935">
        <w:t xml:space="preserve"> </w:t>
      </w:r>
      <w:r w:rsidRPr="000A1935">
        <w:t>AUTHORITY</w:t>
      </w:r>
    </w:p>
    <w:p w:rsidR="00194AA6" w:rsidRPr="000A1935" w:rsidRDefault="00194AA6" w:rsidP="00194AA6">
      <w:pPr>
        <w:widowControl w:val="0"/>
        <w:jc w:val="center"/>
        <w:rPr>
          <w:sz w:val="22"/>
          <w:szCs w:val="22"/>
        </w:rPr>
      </w:pPr>
      <w:r w:rsidRPr="000A1935">
        <w:rPr>
          <w:sz w:val="22"/>
          <w:szCs w:val="22"/>
        </w:rPr>
        <w:t>Florida Department of Environmental Protection</w:t>
      </w:r>
    </w:p>
    <w:p w:rsidR="00194AA6" w:rsidRPr="000A1935" w:rsidRDefault="00194AA6" w:rsidP="00194AA6">
      <w:pPr>
        <w:widowControl w:val="0"/>
        <w:jc w:val="center"/>
        <w:rPr>
          <w:sz w:val="22"/>
          <w:szCs w:val="22"/>
        </w:rPr>
      </w:pPr>
      <w:r w:rsidRPr="000A1935">
        <w:rPr>
          <w:sz w:val="22"/>
          <w:szCs w:val="22"/>
        </w:rPr>
        <w:t>Division of Air Resource Management</w:t>
      </w:r>
    </w:p>
    <w:p w:rsidR="00194AA6" w:rsidRPr="000A1935" w:rsidRDefault="00850561" w:rsidP="00194AA6">
      <w:pPr>
        <w:widowControl w:val="0"/>
        <w:jc w:val="center"/>
        <w:rPr>
          <w:sz w:val="22"/>
          <w:szCs w:val="22"/>
        </w:rPr>
      </w:pPr>
      <w:r w:rsidRPr="000A1935">
        <w:rPr>
          <w:sz w:val="22"/>
          <w:szCs w:val="22"/>
        </w:rPr>
        <w:t>Office of Permitting and Compliance</w:t>
      </w:r>
    </w:p>
    <w:p w:rsidR="00194AA6" w:rsidRPr="000A1935" w:rsidRDefault="00194AA6" w:rsidP="00194AA6">
      <w:pPr>
        <w:widowControl w:val="0"/>
        <w:jc w:val="center"/>
        <w:rPr>
          <w:sz w:val="22"/>
          <w:szCs w:val="22"/>
        </w:rPr>
      </w:pPr>
      <w:r w:rsidRPr="000A1935">
        <w:rPr>
          <w:sz w:val="22"/>
          <w:szCs w:val="22"/>
        </w:rPr>
        <w:t>2600 Blair Stone Road, MS#5505</w:t>
      </w:r>
    </w:p>
    <w:p w:rsidR="00194AA6" w:rsidRPr="000A1935" w:rsidRDefault="00194AA6" w:rsidP="00194AA6">
      <w:pPr>
        <w:widowControl w:val="0"/>
        <w:jc w:val="center"/>
        <w:rPr>
          <w:sz w:val="22"/>
          <w:szCs w:val="22"/>
        </w:rPr>
      </w:pPr>
      <w:r w:rsidRPr="000A1935">
        <w:rPr>
          <w:sz w:val="22"/>
          <w:szCs w:val="22"/>
        </w:rPr>
        <w:t>Tallahassee, Florida  32399-2400</w:t>
      </w:r>
    </w:p>
    <w:p w:rsidR="00193F10" w:rsidRPr="0012634A" w:rsidRDefault="00193F10" w:rsidP="00194AA6">
      <w:pPr>
        <w:jc w:val="center"/>
        <w:rPr>
          <w:sz w:val="22"/>
        </w:rPr>
      </w:pPr>
    </w:p>
    <w:p w:rsidR="00193F10" w:rsidRPr="0012634A" w:rsidRDefault="00193F10" w:rsidP="00194AA6">
      <w:pPr>
        <w:jc w:val="center"/>
        <w:rPr>
          <w:sz w:val="22"/>
        </w:rPr>
      </w:pPr>
    </w:p>
    <w:p w:rsidR="00193F10" w:rsidRPr="0012634A" w:rsidRDefault="00193F10" w:rsidP="00194AA6">
      <w:pPr>
        <w:jc w:val="center"/>
        <w:rPr>
          <w:sz w:val="22"/>
        </w:rPr>
      </w:pPr>
    </w:p>
    <w:p w:rsidR="00193F10" w:rsidRPr="00B040DB" w:rsidRDefault="00C939C9" w:rsidP="00194AA6">
      <w:pPr>
        <w:jc w:val="center"/>
        <w:rPr>
          <w:sz w:val="22"/>
        </w:rPr>
      </w:pPr>
      <w:r>
        <w:rPr>
          <w:sz w:val="22"/>
        </w:rPr>
        <w:t>November</w:t>
      </w:r>
      <w:r w:rsidR="00E86B86" w:rsidRPr="00EE76BA">
        <w:rPr>
          <w:sz w:val="22"/>
        </w:rPr>
        <w:t xml:space="preserve"> </w:t>
      </w:r>
      <w:r>
        <w:rPr>
          <w:sz w:val="22"/>
        </w:rPr>
        <w:t>1</w:t>
      </w:r>
      <w:r w:rsidR="00E81AAC">
        <w:rPr>
          <w:sz w:val="22"/>
        </w:rPr>
        <w:t xml:space="preserve">, </w:t>
      </w:r>
      <w:r w:rsidR="00E86B86" w:rsidRPr="00EE76BA">
        <w:rPr>
          <w:sz w:val="22"/>
        </w:rPr>
        <w:t>201</w:t>
      </w:r>
      <w:r w:rsidR="008B55C1">
        <w:rPr>
          <w:sz w:val="22"/>
        </w:rPr>
        <w:t>3</w:t>
      </w:r>
    </w:p>
    <w:p w:rsidR="00193F10" w:rsidRPr="0012634A" w:rsidRDefault="00193F10" w:rsidP="00194AA6">
      <w:pPr>
        <w:jc w:val="center"/>
        <w:rPr>
          <w:sz w:val="22"/>
        </w:rPr>
      </w:pPr>
    </w:p>
    <w:p w:rsidR="00193F10" w:rsidRPr="0012634A" w:rsidRDefault="00193F10" w:rsidP="00194AA6">
      <w:pPr>
        <w:jc w:val="center"/>
        <w:rPr>
          <w:sz w:val="22"/>
        </w:rPr>
      </w:pPr>
    </w:p>
    <w:p w:rsidR="00193F10" w:rsidRPr="0012634A" w:rsidRDefault="00193F10" w:rsidP="00194AA6">
      <w:pPr>
        <w:jc w:val="center"/>
        <w:rPr>
          <w:sz w:val="22"/>
        </w:rPr>
      </w:pPr>
    </w:p>
    <w:p w:rsidR="00193F10" w:rsidRPr="0012634A" w:rsidRDefault="00193F10" w:rsidP="00194AA6">
      <w:pPr>
        <w:jc w:val="center"/>
        <w:rPr>
          <w:sz w:val="22"/>
        </w:rPr>
      </w:pPr>
    </w:p>
    <w:p w:rsidR="00193F10" w:rsidRPr="0012634A" w:rsidRDefault="00193F10" w:rsidP="00194AA6">
      <w:pPr>
        <w:jc w:val="center"/>
        <w:rPr>
          <w:sz w:val="22"/>
          <w:szCs w:val="22"/>
        </w:rPr>
      </w:pPr>
    </w:p>
    <w:p w:rsidR="00193F10" w:rsidRPr="0012634A" w:rsidRDefault="00193F10">
      <w:pPr>
        <w:jc w:val="center"/>
        <w:rPr>
          <w:sz w:val="22"/>
        </w:rPr>
        <w:sectPr w:rsidR="00193F10" w:rsidRPr="0012634A" w:rsidSect="00955781">
          <w:pgSz w:w="12240" w:h="15840" w:code="1"/>
          <w:pgMar w:top="720" w:right="1080" w:bottom="720" w:left="1080" w:header="720" w:footer="720" w:gutter="0"/>
          <w:paperSrc w:first="15" w:other="15"/>
          <w:pgNumType w:start="1"/>
          <w:cols w:space="720"/>
        </w:sectPr>
      </w:pPr>
    </w:p>
    <w:p w:rsidR="00EE76BA" w:rsidRDefault="00E86B86">
      <w:pPr>
        <w:pStyle w:val="ListParagraph"/>
        <w:numPr>
          <w:ilvl w:val="0"/>
          <w:numId w:val="11"/>
        </w:numPr>
        <w:spacing w:after="120"/>
        <w:ind w:left="540" w:hanging="540"/>
        <w:contextualSpacing w:val="0"/>
        <w:rPr>
          <w:b/>
          <w:caps/>
          <w:sz w:val="22"/>
        </w:rPr>
      </w:pPr>
      <w:r w:rsidRPr="00E86B86">
        <w:rPr>
          <w:b/>
          <w:caps/>
          <w:sz w:val="22"/>
        </w:rPr>
        <w:lastRenderedPageBreak/>
        <w:t>General Project INFORMATION</w:t>
      </w:r>
    </w:p>
    <w:p w:rsidR="00EE76BA" w:rsidRPr="008E145E" w:rsidRDefault="00EE76BA">
      <w:pPr>
        <w:pStyle w:val="ListParagraph"/>
        <w:numPr>
          <w:ilvl w:val="1"/>
          <w:numId w:val="11"/>
        </w:numPr>
        <w:spacing w:after="120"/>
        <w:ind w:left="540" w:hanging="540"/>
        <w:rPr>
          <w:b/>
          <w:bCs/>
          <w:sz w:val="22"/>
          <w:szCs w:val="22"/>
        </w:rPr>
      </w:pPr>
      <w:r w:rsidRPr="008E145E">
        <w:rPr>
          <w:b/>
          <w:bCs/>
          <w:sz w:val="22"/>
          <w:szCs w:val="22"/>
        </w:rPr>
        <w:t>A</w:t>
      </w:r>
      <w:r w:rsidR="008E145E">
        <w:rPr>
          <w:b/>
          <w:bCs/>
          <w:sz w:val="22"/>
          <w:szCs w:val="22"/>
        </w:rPr>
        <w:t>ir Pollution Regulations</w:t>
      </w:r>
    </w:p>
    <w:p w:rsidR="00EE6112" w:rsidRPr="0012634A" w:rsidRDefault="00EE6112" w:rsidP="00EE6112">
      <w:pPr>
        <w:spacing w:after="120"/>
        <w:rPr>
          <w:sz w:val="22"/>
          <w:szCs w:val="22"/>
        </w:rPr>
      </w:pPr>
      <w:r w:rsidRPr="0012634A">
        <w:rPr>
          <w:sz w:val="22"/>
          <w:szCs w:val="22"/>
        </w:rPr>
        <w:t xml:space="preserve">Projects </w:t>
      </w:r>
      <w:r w:rsidR="004D1D9F" w:rsidRPr="0012634A">
        <w:rPr>
          <w:sz w:val="22"/>
          <w:szCs w:val="22"/>
        </w:rPr>
        <w:t xml:space="preserve">at stationary sources </w:t>
      </w:r>
      <w:r w:rsidRPr="0012634A">
        <w:rPr>
          <w:sz w:val="22"/>
          <w:szCs w:val="22"/>
        </w:rPr>
        <w:t>with the potential to emit air pollution are subject to the applicable environmental laws specified in Section 403 of the Florida Statutes (F.S.).  The statutes authoriz</w:t>
      </w:r>
      <w:r w:rsidR="000C5143" w:rsidRPr="0012634A">
        <w:rPr>
          <w:sz w:val="22"/>
          <w:szCs w:val="22"/>
        </w:rPr>
        <w:t>e</w:t>
      </w:r>
      <w:r w:rsidRPr="0012634A">
        <w:rPr>
          <w:sz w:val="22"/>
          <w:szCs w:val="22"/>
        </w:rPr>
        <w:t xml:space="preserve"> the Department of Environmental Protection (Department) to establish regulations regarding air quality as part of the Florida Administrative Code (F.A.C.), which includes the following </w:t>
      </w:r>
      <w:r w:rsidR="00701FEF" w:rsidRPr="0012634A">
        <w:rPr>
          <w:sz w:val="22"/>
          <w:szCs w:val="22"/>
        </w:rPr>
        <w:t xml:space="preserve">applicable </w:t>
      </w:r>
      <w:r w:rsidRPr="0012634A">
        <w:rPr>
          <w:sz w:val="22"/>
          <w:szCs w:val="22"/>
        </w:rPr>
        <w:t>chapters:  62-4 (Permits); 62-204 (Air Pollution Control – General Provisions); 62-210 (Stationary Sources – General Requirements); 62-212 (Stationary Sources</w:t>
      </w:r>
      <w:r w:rsidR="00D51D78" w:rsidRPr="0012634A">
        <w:rPr>
          <w:sz w:val="22"/>
          <w:szCs w:val="22"/>
        </w:rPr>
        <w:t xml:space="preserve"> – </w:t>
      </w:r>
      <w:r w:rsidRPr="0012634A">
        <w:rPr>
          <w:sz w:val="22"/>
          <w:szCs w:val="22"/>
        </w:rPr>
        <w:t>Preconstruction Review); 62-213 (Operation Permits for Major Sources of Air Pollution); 62-296 (Stationary Sources - Emission Standards); and 62-297 (Stationary Sources</w:t>
      </w:r>
      <w:r w:rsidR="00D51D78" w:rsidRPr="0012634A">
        <w:rPr>
          <w:sz w:val="22"/>
          <w:szCs w:val="22"/>
        </w:rPr>
        <w:t xml:space="preserve"> – </w:t>
      </w:r>
      <w:r w:rsidRPr="0012634A">
        <w:rPr>
          <w:sz w:val="22"/>
          <w:szCs w:val="22"/>
        </w:rPr>
        <w:t xml:space="preserve">Emissions Monitoring).  Specifically, air construction permits are required pursuant to </w:t>
      </w:r>
      <w:r w:rsidR="009F6095" w:rsidRPr="0012634A">
        <w:rPr>
          <w:sz w:val="22"/>
          <w:szCs w:val="22"/>
        </w:rPr>
        <w:t>Chapters</w:t>
      </w:r>
      <w:r w:rsidRPr="0012634A">
        <w:rPr>
          <w:sz w:val="22"/>
          <w:szCs w:val="22"/>
        </w:rPr>
        <w:t xml:space="preserve"> 62-4, 62-210 and 62-212, F.A.C.</w:t>
      </w:r>
    </w:p>
    <w:p w:rsidR="00EE6112" w:rsidRPr="0012634A" w:rsidRDefault="00EE6112" w:rsidP="00EE6112">
      <w:pPr>
        <w:spacing w:after="120"/>
        <w:rPr>
          <w:sz w:val="22"/>
          <w:szCs w:val="22"/>
        </w:rPr>
      </w:pPr>
      <w:r w:rsidRPr="0012634A">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12634A">
        <w:rPr>
          <w:sz w:val="22"/>
          <w:szCs w:val="22"/>
        </w:rPr>
        <w:t>categories</w:t>
      </w:r>
      <w:r w:rsidRPr="0012634A">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in Rule 62-204.800, F.A.C.</w:t>
      </w:r>
    </w:p>
    <w:p w:rsidR="00EE76BA" w:rsidRPr="008E145E" w:rsidRDefault="00EE76BA">
      <w:pPr>
        <w:pStyle w:val="ListParagraph"/>
        <w:numPr>
          <w:ilvl w:val="1"/>
          <w:numId w:val="11"/>
        </w:numPr>
        <w:spacing w:after="120"/>
        <w:ind w:left="540" w:hanging="540"/>
        <w:rPr>
          <w:b/>
          <w:bCs/>
          <w:sz w:val="22"/>
          <w:szCs w:val="22"/>
        </w:rPr>
      </w:pPr>
      <w:r w:rsidRPr="008E145E">
        <w:rPr>
          <w:b/>
          <w:bCs/>
          <w:sz w:val="22"/>
          <w:szCs w:val="22"/>
        </w:rPr>
        <w:t>F</w:t>
      </w:r>
      <w:r w:rsidR="008E145E" w:rsidRPr="008E145E">
        <w:rPr>
          <w:b/>
          <w:bCs/>
          <w:sz w:val="22"/>
          <w:szCs w:val="22"/>
        </w:rPr>
        <w:t>a</w:t>
      </w:r>
      <w:r w:rsidR="008E145E">
        <w:rPr>
          <w:b/>
          <w:bCs/>
          <w:sz w:val="22"/>
          <w:szCs w:val="22"/>
        </w:rPr>
        <w:t>cility Description and Location</w:t>
      </w:r>
    </w:p>
    <w:p w:rsidR="00193F10" w:rsidRDefault="00E81AAC" w:rsidP="004D1D9F">
      <w:pPr>
        <w:pStyle w:val="BodyText3"/>
        <w:numPr>
          <w:ilvl w:val="12"/>
          <w:numId w:val="0"/>
        </w:numPr>
        <w:spacing w:before="0"/>
      </w:pPr>
      <w:r>
        <w:rPr>
          <w:szCs w:val="22"/>
        </w:rPr>
        <w:t xml:space="preserve">The </w:t>
      </w:r>
      <w:r w:rsidR="0012634A" w:rsidRPr="0012634A">
        <w:rPr>
          <w:szCs w:val="22"/>
        </w:rPr>
        <w:t>Gulf Power Company</w:t>
      </w:r>
      <w:r w:rsidR="00A109FB">
        <w:rPr>
          <w:szCs w:val="22"/>
        </w:rPr>
        <w:t xml:space="preserve"> Lansing Smith</w:t>
      </w:r>
      <w:r w:rsidR="0012634A" w:rsidRPr="0012634A">
        <w:t xml:space="preserve"> </w:t>
      </w:r>
      <w:r>
        <w:t xml:space="preserve">Generating Plant </w:t>
      </w:r>
      <w:r w:rsidR="00302267" w:rsidRPr="0012634A">
        <w:t xml:space="preserve">is </w:t>
      </w:r>
      <w:r w:rsidR="001D1649" w:rsidRPr="0012634A">
        <w:t xml:space="preserve">categorized under </w:t>
      </w:r>
      <w:r w:rsidR="001D1649" w:rsidRPr="0012634A">
        <w:rPr>
          <w:bCs/>
        </w:rPr>
        <w:t xml:space="preserve">Standard Industrial Classification Code No. </w:t>
      </w:r>
      <w:r w:rsidR="008E370B" w:rsidRPr="0012634A">
        <w:rPr>
          <w:bCs/>
        </w:rPr>
        <w:t>4911</w:t>
      </w:r>
      <w:r w:rsidR="001D1649" w:rsidRPr="0012634A">
        <w:rPr>
          <w:bCs/>
        </w:rPr>
        <w:t xml:space="preserve">. </w:t>
      </w:r>
      <w:r w:rsidR="001C4E37" w:rsidRPr="0012634A">
        <w:t xml:space="preserve"> </w:t>
      </w:r>
      <w:r w:rsidR="00A109FB">
        <w:t xml:space="preserve">Refer to </w:t>
      </w:r>
      <w:r w:rsidR="00614D11">
        <w:fldChar w:fldCharType="begin"/>
      </w:r>
      <w:r w:rsidR="00A01222">
        <w:instrText xml:space="preserve"> REF _Ref359499853 \h </w:instrText>
      </w:r>
      <w:r w:rsidR="00614D11">
        <w:fldChar w:fldCharType="separate"/>
      </w:r>
      <w:r w:rsidR="002D419E" w:rsidRPr="00A01222">
        <w:rPr>
          <w:color w:val="000000" w:themeColor="text1"/>
          <w:szCs w:val="22"/>
        </w:rPr>
        <w:t xml:space="preserve">Figure </w:t>
      </w:r>
      <w:r w:rsidR="002D419E">
        <w:rPr>
          <w:noProof/>
          <w:color w:val="000000" w:themeColor="text1"/>
          <w:szCs w:val="22"/>
        </w:rPr>
        <w:t>1</w:t>
      </w:r>
      <w:r w:rsidR="00614D11">
        <w:fldChar w:fldCharType="end"/>
      </w:r>
      <w:r w:rsidR="00A109FB">
        <w:t xml:space="preserve"> and </w:t>
      </w:r>
      <w:r w:rsidR="00614D11">
        <w:fldChar w:fldCharType="begin"/>
      </w:r>
      <w:r w:rsidR="00A01222">
        <w:instrText xml:space="preserve"> REF _Ref359499886 \h </w:instrText>
      </w:r>
      <w:r w:rsidR="00614D11">
        <w:fldChar w:fldCharType="separate"/>
      </w:r>
      <w:r w:rsidR="002D419E" w:rsidRPr="00A01222">
        <w:rPr>
          <w:color w:val="000000" w:themeColor="text1"/>
          <w:szCs w:val="22"/>
        </w:rPr>
        <w:t xml:space="preserve">Figure </w:t>
      </w:r>
      <w:r w:rsidR="002D419E">
        <w:rPr>
          <w:noProof/>
          <w:color w:val="000000" w:themeColor="text1"/>
          <w:szCs w:val="22"/>
        </w:rPr>
        <w:t>2</w:t>
      </w:r>
      <w:r w:rsidR="00614D11">
        <w:fldChar w:fldCharType="end"/>
      </w:r>
      <w:r w:rsidR="00A109FB">
        <w:t xml:space="preserve">.  </w:t>
      </w:r>
      <w:r w:rsidR="00302267" w:rsidRPr="0012634A">
        <w:t>T</w:t>
      </w:r>
      <w:r w:rsidR="00302267" w:rsidRPr="0012634A">
        <w:rPr>
          <w:szCs w:val="22"/>
        </w:rPr>
        <w:t xml:space="preserve">he </w:t>
      </w:r>
      <w:r w:rsidR="0012634A" w:rsidRPr="0012634A">
        <w:rPr>
          <w:szCs w:val="22"/>
        </w:rPr>
        <w:t>Lansing Smith Generating Plant</w:t>
      </w:r>
      <w:r w:rsidR="0012634A" w:rsidRPr="0012634A">
        <w:t xml:space="preserve"> </w:t>
      </w:r>
      <w:r w:rsidR="00302267" w:rsidRPr="0012634A">
        <w:rPr>
          <w:szCs w:val="22"/>
        </w:rPr>
        <w:t xml:space="preserve">is located in </w:t>
      </w:r>
      <w:r w:rsidR="0012634A" w:rsidRPr="0012634A">
        <w:rPr>
          <w:szCs w:val="22"/>
        </w:rPr>
        <w:t>Bay</w:t>
      </w:r>
      <w:r w:rsidR="00302267" w:rsidRPr="0012634A">
        <w:rPr>
          <w:szCs w:val="22"/>
        </w:rPr>
        <w:t xml:space="preserve"> County at </w:t>
      </w:r>
      <w:r w:rsidR="0012634A" w:rsidRPr="0012634A">
        <w:rPr>
          <w:szCs w:val="22"/>
        </w:rPr>
        <w:t xml:space="preserve">4300 County Road 2300, </w:t>
      </w:r>
      <w:r w:rsidR="005353C4">
        <w:rPr>
          <w:szCs w:val="22"/>
        </w:rPr>
        <w:t>Southport</w:t>
      </w:r>
      <w:r w:rsidR="0012634A" w:rsidRPr="0012634A">
        <w:rPr>
          <w:szCs w:val="22"/>
        </w:rPr>
        <w:t xml:space="preserve">, Florida.  </w:t>
      </w:r>
    </w:p>
    <w:p w:rsidR="009577C4" w:rsidRDefault="00614D11" w:rsidP="004D1D9F">
      <w:pPr>
        <w:pStyle w:val="BodyText3"/>
        <w:numPr>
          <w:ilvl w:val="12"/>
          <w:numId w:val="0"/>
        </w:numPr>
        <w:spacing w:before="0"/>
      </w:pPr>
      <w:r w:rsidRPr="00614D11">
        <w:rPr>
          <w:b/>
          <w:bCs/>
          <w:noProof/>
          <w:szCs w:val="22"/>
          <w:lang w:eastAsia="zh-TW"/>
        </w:rPr>
        <w:pict>
          <v:shapetype id="_x0000_t202" coordsize="21600,21600" o:spt="202" path="m,l,21600r21600,l21600,xe">
            <v:stroke joinstyle="miter"/>
            <v:path gradientshapeok="t" o:connecttype="rect"/>
          </v:shapetype>
          <v:shape id="_x0000_s1028" type="#_x0000_t202" style="position:absolute;margin-left:254.85pt;margin-top:67.25pt;width:82.1pt;height:20.65pt;z-index:251663360;mso-height-percent:200;mso-height-percent:200;mso-width-relative:margin;mso-height-relative:margin" filled="f" stroked="f">
            <v:textbox style="mso-fit-shape-to-text:t">
              <w:txbxContent>
                <w:p w:rsidR="00C54F6E" w:rsidRPr="00C90DCB" w:rsidRDefault="00C54F6E" w:rsidP="00C90DCB">
                  <w:pPr>
                    <w:rPr>
                      <w:rFonts w:asciiTheme="minorHAnsi" w:hAnsiTheme="minorHAnsi" w:cstheme="minorHAnsi"/>
                      <w:b/>
                      <w:color w:val="FF0000"/>
                      <w:sz w:val="22"/>
                      <w:szCs w:val="22"/>
                    </w:rPr>
                  </w:pPr>
                  <w:r>
                    <w:rPr>
                      <w:rFonts w:asciiTheme="minorHAnsi" w:hAnsiTheme="minorHAnsi" w:cstheme="minorHAnsi"/>
                      <w:b/>
                      <w:color w:val="FF0000"/>
                      <w:sz w:val="22"/>
                      <w:szCs w:val="22"/>
                    </w:rPr>
                    <w:t>Lansing Smith</w:t>
                  </w:r>
                </w:p>
              </w:txbxContent>
            </v:textbox>
          </v:shape>
        </w:pict>
      </w:r>
      <w:r w:rsidRPr="00614D11">
        <w:rPr>
          <w:noProof/>
          <w:szCs w:val="22"/>
        </w:rPr>
        <w:pict>
          <v:shapetype id="_x0000_t32" coordsize="21600,21600" o:spt="32" o:oned="t" path="m,l21600,21600e" filled="f">
            <v:path arrowok="t" fillok="f" o:connecttype="none"/>
            <o:lock v:ext="edit" shapetype="t"/>
          </v:shapetype>
          <v:shape id="_x0000_s1029" type="#_x0000_t32" style="position:absolute;margin-left:328.05pt;margin-top:82.9pt;width:15.65pt;height:23.8pt;z-index:251664384" o:connectortype="straight" strokecolor="red" strokeweight="2pt">
            <v:stroke endarrow="block"/>
          </v:shape>
        </w:pict>
      </w:r>
      <w:r>
        <w:rPr>
          <w:noProof/>
        </w:rPr>
        <w:pict>
          <v:shape id="_x0000_s1027" type="#_x0000_t32" style="position:absolute;margin-left:48.2pt;margin-top:36.55pt;width:9.4pt;height:30.7pt;flip:y;z-index:251661312" o:connectortype="straight" strokecolor="red" strokeweight="2pt">
            <v:stroke endarrow="block"/>
          </v:shape>
        </w:pict>
      </w:r>
      <w:r>
        <w:rPr>
          <w:noProof/>
          <w:lang w:eastAsia="zh-TW"/>
        </w:rPr>
        <w:pict>
          <v:shape id="_x0000_s1026" type="#_x0000_t202" style="position:absolute;margin-left:1.65pt;margin-top:67.25pt;width:70.85pt;height:21.4pt;z-index:251660288;mso-height-percent:200;mso-height-percent:200;mso-width-relative:margin;mso-height-relative:margin" filled="f" stroked="f">
            <v:textbox style="mso-fit-shape-to-text:t">
              <w:txbxContent>
                <w:p w:rsidR="00C54F6E" w:rsidRPr="009577C4" w:rsidRDefault="00C54F6E">
                  <w:pPr>
                    <w:rPr>
                      <w:rFonts w:asciiTheme="minorHAnsi" w:hAnsiTheme="minorHAnsi" w:cstheme="minorHAnsi"/>
                      <w:b/>
                      <w:color w:val="FF0000"/>
                      <w:sz w:val="22"/>
                      <w:szCs w:val="22"/>
                    </w:rPr>
                  </w:pPr>
                  <w:r w:rsidRPr="009577C4">
                    <w:rPr>
                      <w:rFonts w:asciiTheme="minorHAnsi" w:hAnsiTheme="minorHAnsi" w:cstheme="minorHAnsi"/>
                      <w:b/>
                      <w:color w:val="FF0000"/>
                      <w:sz w:val="22"/>
                      <w:szCs w:val="22"/>
                    </w:rPr>
                    <w:t>Bay County</w:t>
                  </w:r>
                </w:p>
              </w:txbxContent>
            </v:textbox>
          </v:shape>
        </w:pict>
      </w:r>
      <w:r w:rsidR="009577C4" w:rsidRPr="009577C4">
        <w:rPr>
          <w:noProof/>
          <w:bdr w:val="single" w:sz="8" w:space="0" w:color="auto"/>
        </w:rPr>
        <w:drawing>
          <wp:inline distT="0" distB="0" distL="0" distR="0">
            <wp:extent cx="2894869" cy="2846567"/>
            <wp:effectExtent l="19050" t="0" r="731" b="0"/>
            <wp:docPr id="11" name="Picture 3" descr="bay county real est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y county real estate"/>
                    <pic:cNvPicPr>
                      <a:picLocks noChangeAspect="1" noChangeArrowheads="1"/>
                    </pic:cNvPicPr>
                  </pic:nvPicPr>
                  <pic:blipFill>
                    <a:blip r:embed="rId9" cstate="print"/>
                    <a:srcRect/>
                    <a:stretch>
                      <a:fillRect/>
                    </a:stretch>
                  </pic:blipFill>
                  <pic:spPr bwMode="auto">
                    <a:xfrm>
                      <a:off x="0" y="0"/>
                      <a:ext cx="2894869" cy="2846567"/>
                    </a:xfrm>
                    <a:prstGeom prst="rect">
                      <a:avLst/>
                    </a:prstGeom>
                    <a:noFill/>
                    <a:ln w="9525">
                      <a:noFill/>
                      <a:miter lim="800000"/>
                      <a:headEnd/>
                      <a:tailEnd/>
                    </a:ln>
                  </pic:spPr>
                </pic:pic>
              </a:graphicData>
            </a:graphic>
          </wp:inline>
        </w:drawing>
      </w:r>
      <w:r w:rsidR="009577C4">
        <w:rPr>
          <w:noProof/>
        </w:rPr>
        <w:t xml:space="preserve">  </w:t>
      </w:r>
      <w:r w:rsidR="009577C4" w:rsidRPr="009577C4">
        <w:rPr>
          <w:noProof/>
          <w:bdr w:val="single" w:sz="8" w:space="0" w:color="auto"/>
        </w:rPr>
        <w:drawing>
          <wp:inline distT="0" distB="0" distL="0" distR="0">
            <wp:extent cx="2719677" cy="2852334"/>
            <wp:effectExtent l="19050" t="0" r="4473" b="0"/>
            <wp:docPr id="10" name="Picture 9" descr="f12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12250.jpg"/>
                    <pic:cNvPicPr/>
                  </pic:nvPicPr>
                  <pic:blipFill>
                    <a:blip r:embed="rId10" cstate="print"/>
                    <a:srcRect l="9444" t="10052" r="27173" b="3813"/>
                    <a:stretch>
                      <a:fillRect/>
                    </a:stretch>
                  </pic:blipFill>
                  <pic:spPr>
                    <a:xfrm>
                      <a:off x="0" y="0"/>
                      <a:ext cx="2721717" cy="2854473"/>
                    </a:xfrm>
                    <a:prstGeom prst="rect">
                      <a:avLst/>
                    </a:prstGeom>
                  </pic:spPr>
                </pic:pic>
              </a:graphicData>
            </a:graphic>
          </wp:inline>
        </w:drawing>
      </w:r>
    </w:p>
    <w:p w:rsidR="00003C95" w:rsidRPr="00A01222" w:rsidRDefault="00A01222" w:rsidP="00A01222">
      <w:pPr>
        <w:pStyle w:val="Caption"/>
        <w:tabs>
          <w:tab w:val="left" w:pos="4950"/>
        </w:tabs>
        <w:spacing w:after="120"/>
        <w:ind w:left="720"/>
        <w:rPr>
          <w:b w:val="0"/>
          <w:color w:val="000000" w:themeColor="text1"/>
          <w:sz w:val="22"/>
          <w:szCs w:val="22"/>
        </w:rPr>
      </w:pPr>
      <w:bookmarkStart w:id="0" w:name="_Ref359499853"/>
      <w:r w:rsidRPr="00A01222">
        <w:rPr>
          <w:color w:val="000000" w:themeColor="text1"/>
          <w:sz w:val="22"/>
          <w:szCs w:val="22"/>
        </w:rPr>
        <w:t xml:space="preserve">Figure </w:t>
      </w:r>
      <w:r w:rsidR="00614D11" w:rsidRPr="00A01222">
        <w:rPr>
          <w:color w:val="000000" w:themeColor="text1"/>
          <w:sz w:val="22"/>
          <w:szCs w:val="22"/>
        </w:rPr>
        <w:fldChar w:fldCharType="begin"/>
      </w:r>
      <w:r w:rsidRPr="00A01222">
        <w:rPr>
          <w:color w:val="000000" w:themeColor="text1"/>
          <w:sz w:val="22"/>
          <w:szCs w:val="22"/>
        </w:rPr>
        <w:instrText xml:space="preserve"> SEQ Figure \* ARABIC </w:instrText>
      </w:r>
      <w:r w:rsidR="00614D11" w:rsidRPr="00A01222">
        <w:rPr>
          <w:color w:val="000000" w:themeColor="text1"/>
          <w:sz w:val="22"/>
          <w:szCs w:val="22"/>
        </w:rPr>
        <w:fldChar w:fldCharType="separate"/>
      </w:r>
      <w:r w:rsidR="002D419E">
        <w:rPr>
          <w:noProof/>
          <w:color w:val="000000" w:themeColor="text1"/>
          <w:sz w:val="22"/>
          <w:szCs w:val="22"/>
        </w:rPr>
        <w:t>1</w:t>
      </w:r>
      <w:r w:rsidR="00614D11" w:rsidRPr="00A01222">
        <w:rPr>
          <w:color w:val="000000" w:themeColor="text1"/>
          <w:sz w:val="22"/>
          <w:szCs w:val="22"/>
        </w:rPr>
        <w:fldChar w:fldCharType="end"/>
      </w:r>
      <w:bookmarkEnd w:id="0"/>
      <w:r w:rsidR="00C90DCB" w:rsidRPr="00A01222">
        <w:rPr>
          <w:color w:val="000000" w:themeColor="text1"/>
          <w:sz w:val="22"/>
          <w:szCs w:val="22"/>
        </w:rPr>
        <w:t>.  Bay County, Florida</w:t>
      </w:r>
      <w:r>
        <w:rPr>
          <w:color w:val="000000" w:themeColor="text1"/>
          <w:sz w:val="22"/>
          <w:szCs w:val="22"/>
        </w:rPr>
        <w:t>.</w:t>
      </w:r>
      <w:r w:rsidR="00A109FB" w:rsidRPr="00A01222">
        <w:rPr>
          <w:color w:val="000000" w:themeColor="text1"/>
          <w:sz w:val="22"/>
          <w:szCs w:val="22"/>
        </w:rPr>
        <w:tab/>
      </w:r>
      <w:bookmarkStart w:id="1" w:name="_Ref359499886"/>
      <w:r w:rsidRPr="00A01222">
        <w:rPr>
          <w:color w:val="000000" w:themeColor="text1"/>
          <w:sz w:val="22"/>
          <w:szCs w:val="22"/>
        </w:rPr>
        <w:t xml:space="preserve">Figure </w:t>
      </w:r>
      <w:r w:rsidR="00614D11" w:rsidRPr="00A01222">
        <w:rPr>
          <w:color w:val="000000" w:themeColor="text1"/>
          <w:sz w:val="22"/>
          <w:szCs w:val="22"/>
        </w:rPr>
        <w:fldChar w:fldCharType="begin"/>
      </w:r>
      <w:r w:rsidRPr="00A01222">
        <w:rPr>
          <w:color w:val="000000" w:themeColor="text1"/>
          <w:sz w:val="22"/>
          <w:szCs w:val="22"/>
        </w:rPr>
        <w:instrText xml:space="preserve"> SEQ Figure \* ARABIC </w:instrText>
      </w:r>
      <w:r w:rsidR="00614D11" w:rsidRPr="00A01222">
        <w:rPr>
          <w:color w:val="000000" w:themeColor="text1"/>
          <w:sz w:val="22"/>
          <w:szCs w:val="22"/>
        </w:rPr>
        <w:fldChar w:fldCharType="separate"/>
      </w:r>
      <w:r w:rsidR="002D419E">
        <w:rPr>
          <w:noProof/>
          <w:color w:val="000000" w:themeColor="text1"/>
          <w:sz w:val="22"/>
          <w:szCs w:val="22"/>
        </w:rPr>
        <w:t>2</w:t>
      </w:r>
      <w:r w:rsidR="00614D11" w:rsidRPr="00A01222">
        <w:rPr>
          <w:color w:val="000000" w:themeColor="text1"/>
          <w:sz w:val="22"/>
          <w:szCs w:val="22"/>
        </w:rPr>
        <w:fldChar w:fldCharType="end"/>
      </w:r>
      <w:bookmarkEnd w:id="1"/>
      <w:r w:rsidR="00A109FB" w:rsidRPr="00A01222">
        <w:rPr>
          <w:color w:val="000000" w:themeColor="text1"/>
          <w:sz w:val="22"/>
          <w:szCs w:val="22"/>
        </w:rPr>
        <w:t>.  Location of Lansing Smith</w:t>
      </w:r>
      <w:r w:rsidR="00E81AAC" w:rsidRPr="00A01222">
        <w:rPr>
          <w:color w:val="000000" w:themeColor="text1"/>
          <w:sz w:val="22"/>
          <w:szCs w:val="22"/>
        </w:rPr>
        <w:t xml:space="preserve"> Plant</w:t>
      </w:r>
      <w:r>
        <w:rPr>
          <w:color w:val="000000" w:themeColor="text1"/>
          <w:sz w:val="22"/>
          <w:szCs w:val="22"/>
        </w:rPr>
        <w:t>.</w:t>
      </w:r>
    </w:p>
    <w:p w:rsidR="00A109FB" w:rsidRPr="00A109FB" w:rsidRDefault="00A109FB" w:rsidP="00A109FB">
      <w:pPr>
        <w:spacing w:after="120"/>
        <w:rPr>
          <w:sz w:val="22"/>
          <w:szCs w:val="22"/>
        </w:rPr>
      </w:pPr>
      <w:r w:rsidRPr="00A109FB">
        <w:rPr>
          <w:sz w:val="22"/>
          <w:szCs w:val="22"/>
        </w:rPr>
        <w:t>The UTM coordinates are Zone 16; 623.74 Kilometer (km) East and 3349.11 km North.  This site is in an area that is in attainment (or designated as unclassifiable) for all air pollutants subject to Ambient Air Quality Standards (AAQS).</w:t>
      </w:r>
    </w:p>
    <w:p w:rsidR="00A109FB" w:rsidRDefault="00614D11" w:rsidP="00A109FB">
      <w:pPr>
        <w:pStyle w:val="BodyText3"/>
        <w:numPr>
          <w:ilvl w:val="12"/>
          <w:numId w:val="0"/>
        </w:numPr>
        <w:rPr>
          <w:szCs w:val="22"/>
        </w:rPr>
      </w:pPr>
      <w:fldSimple w:instr=" REF _Ref359499974 \h  \* MERGEFORMAT ">
        <w:r w:rsidR="002D419E" w:rsidRPr="002D419E">
          <w:rPr>
            <w:color w:val="000000" w:themeColor="text1"/>
            <w:szCs w:val="22"/>
          </w:rPr>
          <w:t xml:space="preserve">Table </w:t>
        </w:r>
        <w:r w:rsidR="002D419E" w:rsidRPr="002D419E">
          <w:rPr>
            <w:noProof/>
            <w:color w:val="000000" w:themeColor="text1"/>
            <w:szCs w:val="22"/>
          </w:rPr>
          <w:t>1</w:t>
        </w:r>
      </w:fldSimple>
      <w:r w:rsidR="00A109FB" w:rsidRPr="00A01222">
        <w:rPr>
          <w:szCs w:val="22"/>
        </w:rPr>
        <w:t xml:space="preserve"> </w:t>
      </w:r>
      <w:r w:rsidR="00A109FB">
        <w:rPr>
          <w:szCs w:val="22"/>
        </w:rPr>
        <w:t xml:space="preserve">is a summary of Emissions Units (E.U.) from the Facility Title V Air Operation Permit </w:t>
      </w:r>
      <w:r w:rsidR="00A109FB">
        <w:rPr>
          <w:szCs w:val="22"/>
        </w:rPr>
        <w:br/>
        <w:t xml:space="preserve">0050014-018-AV.  </w:t>
      </w:r>
      <w:r w:rsidR="008168C4">
        <w:rPr>
          <w:szCs w:val="22"/>
        </w:rPr>
        <w:t>Units</w:t>
      </w:r>
      <w:r w:rsidR="00A109FB">
        <w:rPr>
          <w:szCs w:val="22"/>
        </w:rPr>
        <w:t xml:space="preserve"> 1 and 2 are the subject of the present permit application.  </w:t>
      </w:r>
      <w:r w:rsidR="008168C4">
        <w:rPr>
          <w:szCs w:val="22"/>
        </w:rPr>
        <w:t>Units</w:t>
      </w:r>
      <w:r w:rsidR="00A109FB" w:rsidRPr="00A109FB">
        <w:rPr>
          <w:szCs w:val="22"/>
        </w:rPr>
        <w:t xml:space="preserve"> 1 and 2 are tangentially fired, dry bottom </w:t>
      </w:r>
      <w:r w:rsidR="00A109FB">
        <w:rPr>
          <w:szCs w:val="22"/>
        </w:rPr>
        <w:t xml:space="preserve">coal-fueled </w:t>
      </w:r>
      <w:r w:rsidR="00A109FB" w:rsidRPr="00A109FB">
        <w:rPr>
          <w:szCs w:val="22"/>
        </w:rPr>
        <w:t xml:space="preserve">boilers that began commercial operation in 1965 and 1967, respectively.  </w:t>
      </w:r>
    </w:p>
    <w:p w:rsidR="00D165BD" w:rsidRPr="00A01222" w:rsidRDefault="00A01222" w:rsidP="00A01222">
      <w:pPr>
        <w:pStyle w:val="Caption"/>
        <w:spacing w:after="120"/>
        <w:jc w:val="center"/>
        <w:rPr>
          <w:caps/>
          <w:color w:val="000000" w:themeColor="text1"/>
          <w:sz w:val="22"/>
          <w:szCs w:val="22"/>
        </w:rPr>
      </w:pPr>
      <w:bookmarkStart w:id="2" w:name="_Ref359499974"/>
      <w:r w:rsidRPr="00A01222">
        <w:rPr>
          <w:caps/>
          <w:color w:val="000000" w:themeColor="text1"/>
          <w:sz w:val="22"/>
          <w:szCs w:val="22"/>
        </w:rPr>
        <w:lastRenderedPageBreak/>
        <w:t xml:space="preserve">Table </w:t>
      </w:r>
      <w:r w:rsidR="00614D11" w:rsidRPr="00A01222">
        <w:rPr>
          <w:caps/>
          <w:color w:val="000000" w:themeColor="text1"/>
          <w:sz w:val="22"/>
          <w:szCs w:val="22"/>
        </w:rPr>
        <w:fldChar w:fldCharType="begin"/>
      </w:r>
      <w:r w:rsidRPr="00A01222">
        <w:rPr>
          <w:caps/>
          <w:color w:val="000000" w:themeColor="text1"/>
          <w:sz w:val="22"/>
          <w:szCs w:val="22"/>
        </w:rPr>
        <w:instrText xml:space="preserve"> SEQ Table \* ARABIC </w:instrText>
      </w:r>
      <w:r w:rsidR="00614D11" w:rsidRPr="00A01222">
        <w:rPr>
          <w:caps/>
          <w:color w:val="000000" w:themeColor="text1"/>
          <w:sz w:val="22"/>
          <w:szCs w:val="22"/>
        </w:rPr>
        <w:fldChar w:fldCharType="separate"/>
      </w:r>
      <w:r w:rsidR="002D419E">
        <w:rPr>
          <w:caps/>
          <w:noProof/>
          <w:color w:val="000000" w:themeColor="text1"/>
          <w:sz w:val="22"/>
          <w:szCs w:val="22"/>
        </w:rPr>
        <w:t>1</w:t>
      </w:r>
      <w:r w:rsidR="00614D11" w:rsidRPr="00A01222">
        <w:rPr>
          <w:caps/>
          <w:color w:val="000000" w:themeColor="text1"/>
          <w:sz w:val="22"/>
          <w:szCs w:val="22"/>
        </w:rPr>
        <w:fldChar w:fldCharType="end"/>
      </w:r>
      <w:bookmarkEnd w:id="2"/>
      <w:r w:rsidR="00D165BD" w:rsidRPr="00A01222">
        <w:rPr>
          <w:caps/>
          <w:color w:val="000000" w:themeColor="text1"/>
          <w:sz w:val="22"/>
          <w:szCs w:val="22"/>
        </w:rPr>
        <w:t>.  Summary of Emissions Units (E.U.)</w:t>
      </w:r>
      <w:r>
        <w:rPr>
          <w:caps/>
          <w:color w:val="000000" w:themeColor="text1"/>
          <w:sz w:val="22"/>
          <w:szCs w:val="22"/>
        </w:rPr>
        <w:t>.</w:t>
      </w:r>
    </w:p>
    <w:tbl>
      <w:tblPr>
        <w:tblW w:w="936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260"/>
        <w:gridCol w:w="8100"/>
      </w:tblGrid>
      <w:tr w:rsidR="00A109FB" w:rsidRPr="00C1121B" w:rsidTr="00A01222">
        <w:trPr>
          <w:trHeight w:val="377"/>
        </w:trPr>
        <w:tc>
          <w:tcPr>
            <w:tcW w:w="1260" w:type="dxa"/>
            <w:tcBorders>
              <w:top w:val="single" w:sz="12" w:space="0" w:color="auto"/>
              <w:bottom w:val="single" w:sz="12" w:space="0" w:color="auto"/>
            </w:tcBorders>
            <w:shd w:val="clear" w:color="auto" w:fill="F3F3F3"/>
            <w:vAlign w:val="center"/>
          </w:tcPr>
          <w:p w:rsidR="00A109FB" w:rsidRPr="00C1121B" w:rsidRDefault="00A109FB" w:rsidP="00CB358A">
            <w:pPr>
              <w:jc w:val="center"/>
              <w:rPr>
                <w:b/>
                <w:sz w:val="22"/>
                <w:szCs w:val="22"/>
              </w:rPr>
            </w:pPr>
            <w:r w:rsidRPr="00C1121B">
              <w:rPr>
                <w:b/>
                <w:sz w:val="22"/>
                <w:szCs w:val="22"/>
              </w:rPr>
              <w:t>E</w:t>
            </w:r>
            <w:r>
              <w:rPr>
                <w:b/>
                <w:sz w:val="22"/>
                <w:szCs w:val="22"/>
              </w:rPr>
              <w:t>.</w:t>
            </w:r>
            <w:r w:rsidRPr="00C1121B">
              <w:rPr>
                <w:b/>
                <w:sz w:val="22"/>
                <w:szCs w:val="22"/>
              </w:rPr>
              <w:t>U</w:t>
            </w:r>
            <w:r>
              <w:rPr>
                <w:b/>
                <w:sz w:val="22"/>
                <w:szCs w:val="22"/>
              </w:rPr>
              <w:t>.</w:t>
            </w:r>
            <w:r w:rsidRPr="00C1121B">
              <w:rPr>
                <w:b/>
                <w:sz w:val="22"/>
                <w:szCs w:val="22"/>
              </w:rPr>
              <w:t xml:space="preserve"> No.</w:t>
            </w:r>
          </w:p>
        </w:tc>
        <w:tc>
          <w:tcPr>
            <w:tcW w:w="8100" w:type="dxa"/>
            <w:tcBorders>
              <w:top w:val="single" w:sz="12" w:space="0" w:color="auto"/>
              <w:bottom w:val="single" w:sz="12" w:space="0" w:color="auto"/>
            </w:tcBorders>
            <w:shd w:val="clear" w:color="auto" w:fill="F3F3F3"/>
            <w:vAlign w:val="center"/>
          </w:tcPr>
          <w:p w:rsidR="00A109FB" w:rsidRPr="005809E9" w:rsidRDefault="00A109FB" w:rsidP="00CB358A">
            <w:pPr>
              <w:keepNext/>
              <w:outlineLvl w:val="1"/>
              <w:rPr>
                <w:b/>
                <w:sz w:val="22"/>
                <w:szCs w:val="22"/>
              </w:rPr>
            </w:pPr>
            <w:r w:rsidRPr="005809E9">
              <w:rPr>
                <w:b/>
                <w:sz w:val="22"/>
                <w:szCs w:val="22"/>
              </w:rPr>
              <w:t>Brief Description</w:t>
            </w:r>
          </w:p>
        </w:tc>
      </w:tr>
      <w:tr w:rsidR="00A109FB" w:rsidRPr="00C1121B" w:rsidTr="00A01222">
        <w:tc>
          <w:tcPr>
            <w:tcW w:w="9360" w:type="dxa"/>
            <w:gridSpan w:val="2"/>
            <w:tcBorders>
              <w:top w:val="single" w:sz="12" w:space="0" w:color="auto"/>
            </w:tcBorders>
          </w:tcPr>
          <w:p w:rsidR="00A109FB" w:rsidRPr="00C1121B" w:rsidRDefault="00A109FB" w:rsidP="00CB358A">
            <w:pPr>
              <w:ind w:left="108"/>
              <w:rPr>
                <w:sz w:val="22"/>
              </w:rPr>
            </w:pPr>
            <w:r>
              <w:rPr>
                <w:b/>
                <w:bCs/>
                <w:i/>
                <w:iCs/>
                <w:sz w:val="22"/>
                <w:szCs w:val="22"/>
              </w:rPr>
              <w:t>Regulated Emissions Units</w:t>
            </w:r>
          </w:p>
        </w:tc>
      </w:tr>
      <w:tr w:rsidR="00A109FB" w:rsidRPr="00C1121B" w:rsidTr="00A01222">
        <w:tc>
          <w:tcPr>
            <w:tcW w:w="1260" w:type="dxa"/>
            <w:tcBorders>
              <w:top w:val="single" w:sz="12" w:space="0" w:color="auto"/>
            </w:tcBorders>
          </w:tcPr>
          <w:p w:rsidR="00A109FB" w:rsidRPr="00C1121B" w:rsidRDefault="00A109FB" w:rsidP="00CB358A">
            <w:pPr>
              <w:jc w:val="center"/>
              <w:rPr>
                <w:sz w:val="22"/>
              </w:rPr>
            </w:pPr>
            <w:r w:rsidRPr="00C1121B">
              <w:rPr>
                <w:sz w:val="22"/>
              </w:rPr>
              <w:t>001</w:t>
            </w:r>
          </w:p>
        </w:tc>
        <w:tc>
          <w:tcPr>
            <w:tcW w:w="8100" w:type="dxa"/>
            <w:tcBorders>
              <w:top w:val="single" w:sz="12" w:space="0" w:color="auto"/>
            </w:tcBorders>
          </w:tcPr>
          <w:p w:rsidR="00A109FB" w:rsidRPr="00C1121B" w:rsidRDefault="00A109FB" w:rsidP="00CB358A">
            <w:pPr>
              <w:rPr>
                <w:sz w:val="22"/>
              </w:rPr>
            </w:pPr>
            <w:r w:rsidRPr="00C1121B">
              <w:rPr>
                <w:sz w:val="22"/>
              </w:rPr>
              <w:t>Boiler Number 1 - 1,944.8 MMBtu/hour</w:t>
            </w:r>
          </w:p>
        </w:tc>
      </w:tr>
      <w:tr w:rsidR="00A109FB" w:rsidRPr="00C1121B" w:rsidTr="00A01222">
        <w:tc>
          <w:tcPr>
            <w:tcW w:w="1260" w:type="dxa"/>
            <w:tcBorders>
              <w:bottom w:val="single" w:sz="6" w:space="0" w:color="auto"/>
            </w:tcBorders>
          </w:tcPr>
          <w:p w:rsidR="00A109FB" w:rsidRPr="00C1121B" w:rsidRDefault="00A109FB" w:rsidP="00CB358A">
            <w:pPr>
              <w:jc w:val="center"/>
              <w:rPr>
                <w:sz w:val="22"/>
              </w:rPr>
            </w:pPr>
            <w:r w:rsidRPr="00C1121B">
              <w:rPr>
                <w:sz w:val="22"/>
              </w:rPr>
              <w:t>002</w:t>
            </w:r>
          </w:p>
        </w:tc>
        <w:tc>
          <w:tcPr>
            <w:tcW w:w="8100" w:type="dxa"/>
            <w:tcBorders>
              <w:bottom w:val="single" w:sz="6" w:space="0" w:color="auto"/>
            </w:tcBorders>
          </w:tcPr>
          <w:p w:rsidR="00A109FB" w:rsidRPr="00C1121B" w:rsidRDefault="00A109FB" w:rsidP="00CB358A">
            <w:pPr>
              <w:rPr>
                <w:sz w:val="22"/>
              </w:rPr>
            </w:pPr>
            <w:r w:rsidRPr="00C1121B">
              <w:rPr>
                <w:sz w:val="22"/>
              </w:rPr>
              <w:t>Boiler Number 2 - 2,246.2 MMBtu/hour</w:t>
            </w:r>
          </w:p>
        </w:tc>
      </w:tr>
      <w:tr w:rsidR="00A109FB" w:rsidRPr="00C1121B" w:rsidTr="00A01222">
        <w:trPr>
          <w:trHeight w:val="126"/>
        </w:trPr>
        <w:tc>
          <w:tcPr>
            <w:tcW w:w="1260" w:type="dxa"/>
            <w:tcBorders>
              <w:top w:val="single" w:sz="6" w:space="0" w:color="auto"/>
            </w:tcBorders>
            <w:shd w:val="clear" w:color="auto" w:fill="auto"/>
          </w:tcPr>
          <w:p w:rsidR="00A109FB" w:rsidRPr="00C1121B" w:rsidRDefault="00A109FB" w:rsidP="00CB358A">
            <w:pPr>
              <w:jc w:val="center"/>
              <w:rPr>
                <w:sz w:val="22"/>
              </w:rPr>
            </w:pPr>
            <w:r w:rsidRPr="00C1121B">
              <w:rPr>
                <w:sz w:val="22"/>
              </w:rPr>
              <w:t>003</w:t>
            </w:r>
          </w:p>
        </w:tc>
        <w:tc>
          <w:tcPr>
            <w:tcW w:w="8100" w:type="dxa"/>
            <w:tcBorders>
              <w:top w:val="single" w:sz="6" w:space="0" w:color="auto"/>
              <w:bottom w:val="single" w:sz="6" w:space="0" w:color="auto"/>
            </w:tcBorders>
          </w:tcPr>
          <w:p w:rsidR="00A109FB" w:rsidRPr="00C1121B" w:rsidRDefault="00A109FB" w:rsidP="00CB358A">
            <w:pPr>
              <w:rPr>
                <w:sz w:val="22"/>
              </w:rPr>
            </w:pPr>
            <w:r w:rsidRPr="00C1121B">
              <w:rPr>
                <w:sz w:val="22"/>
              </w:rPr>
              <w:t>Combustion Turbine - 542 MMBtu/hour Peaking Unit</w:t>
            </w:r>
          </w:p>
        </w:tc>
      </w:tr>
      <w:tr w:rsidR="00A109FB" w:rsidRPr="00C1121B" w:rsidTr="00A01222">
        <w:trPr>
          <w:trHeight w:val="126"/>
        </w:trPr>
        <w:tc>
          <w:tcPr>
            <w:tcW w:w="1260" w:type="dxa"/>
            <w:tcBorders>
              <w:right w:val="single" w:sz="12" w:space="0" w:color="auto"/>
            </w:tcBorders>
            <w:shd w:val="clear" w:color="auto" w:fill="auto"/>
          </w:tcPr>
          <w:p w:rsidR="00A109FB" w:rsidRPr="00C1121B" w:rsidRDefault="00A109FB" w:rsidP="00CB358A">
            <w:pPr>
              <w:jc w:val="center"/>
              <w:rPr>
                <w:sz w:val="22"/>
              </w:rPr>
            </w:pPr>
            <w:r w:rsidRPr="00C1121B">
              <w:rPr>
                <w:sz w:val="22"/>
              </w:rPr>
              <w:t>004</w:t>
            </w:r>
          </w:p>
        </w:tc>
        <w:tc>
          <w:tcPr>
            <w:tcW w:w="8100" w:type="dxa"/>
            <w:tcBorders>
              <w:top w:val="single" w:sz="6" w:space="0" w:color="auto"/>
              <w:left w:val="single" w:sz="12" w:space="0" w:color="auto"/>
              <w:bottom w:val="single" w:sz="6" w:space="0" w:color="auto"/>
              <w:right w:val="single" w:sz="12" w:space="0" w:color="auto"/>
            </w:tcBorders>
          </w:tcPr>
          <w:p w:rsidR="00A109FB" w:rsidRPr="00C1121B" w:rsidRDefault="00A109FB" w:rsidP="00CB358A">
            <w:pPr>
              <w:rPr>
                <w:sz w:val="22"/>
              </w:rPr>
            </w:pPr>
            <w:r w:rsidRPr="00C1121B">
              <w:rPr>
                <w:sz w:val="22"/>
              </w:rPr>
              <w:t>170 MW Gas Combustion Turbine with HRSG and Duct Burner</w:t>
            </w:r>
          </w:p>
        </w:tc>
      </w:tr>
      <w:tr w:rsidR="00A109FB" w:rsidRPr="00C1121B" w:rsidTr="00A01222">
        <w:trPr>
          <w:trHeight w:val="126"/>
        </w:trPr>
        <w:tc>
          <w:tcPr>
            <w:tcW w:w="1260" w:type="dxa"/>
            <w:shd w:val="clear" w:color="auto" w:fill="auto"/>
          </w:tcPr>
          <w:p w:rsidR="00A109FB" w:rsidRPr="00C1121B" w:rsidRDefault="00A109FB" w:rsidP="00CB358A">
            <w:pPr>
              <w:jc w:val="center"/>
              <w:rPr>
                <w:sz w:val="22"/>
              </w:rPr>
            </w:pPr>
            <w:r w:rsidRPr="00C1121B">
              <w:rPr>
                <w:sz w:val="22"/>
              </w:rPr>
              <w:t>005</w:t>
            </w:r>
          </w:p>
        </w:tc>
        <w:tc>
          <w:tcPr>
            <w:tcW w:w="8100" w:type="dxa"/>
            <w:tcBorders>
              <w:top w:val="single" w:sz="6" w:space="0" w:color="auto"/>
              <w:bottom w:val="single" w:sz="6" w:space="0" w:color="auto"/>
            </w:tcBorders>
          </w:tcPr>
          <w:p w:rsidR="00A109FB" w:rsidRPr="00C1121B" w:rsidRDefault="00A109FB" w:rsidP="00CB358A">
            <w:pPr>
              <w:rPr>
                <w:sz w:val="22"/>
              </w:rPr>
            </w:pPr>
            <w:r w:rsidRPr="00C1121B">
              <w:rPr>
                <w:sz w:val="22"/>
              </w:rPr>
              <w:t>170 MW Gas Combustion Turbine with HRSG and Duct Burner</w:t>
            </w:r>
          </w:p>
        </w:tc>
      </w:tr>
      <w:tr w:rsidR="00A109FB" w:rsidRPr="00C1121B" w:rsidTr="00A01222">
        <w:trPr>
          <w:trHeight w:val="84"/>
        </w:trPr>
        <w:tc>
          <w:tcPr>
            <w:tcW w:w="1260" w:type="dxa"/>
            <w:tcBorders>
              <w:bottom w:val="single" w:sz="6" w:space="0" w:color="auto"/>
            </w:tcBorders>
            <w:shd w:val="clear" w:color="auto" w:fill="auto"/>
          </w:tcPr>
          <w:p w:rsidR="00A109FB" w:rsidRPr="00C1121B" w:rsidRDefault="00A109FB" w:rsidP="00CB358A">
            <w:pPr>
              <w:jc w:val="center"/>
              <w:rPr>
                <w:sz w:val="22"/>
              </w:rPr>
            </w:pPr>
            <w:r w:rsidRPr="00C1121B">
              <w:rPr>
                <w:sz w:val="22"/>
              </w:rPr>
              <w:t>006</w:t>
            </w:r>
          </w:p>
        </w:tc>
        <w:tc>
          <w:tcPr>
            <w:tcW w:w="8100" w:type="dxa"/>
            <w:tcBorders>
              <w:top w:val="single" w:sz="6" w:space="0" w:color="auto"/>
            </w:tcBorders>
            <w:shd w:val="clear" w:color="auto" w:fill="auto"/>
          </w:tcPr>
          <w:p w:rsidR="00A109FB" w:rsidRPr="00C1121B" w:rsidRDefault="00A109FB" w:rsidP="00CB358A">
            <w:pPr>
              <w:rPr>
                <w:sz w:val="22"/>
              </w:rPr>
            </w:pPr>
            <w:r w:rsidRPr="00C1121B">
              <w:rPr>
                <w:sz w:val="22"/>
              </w:rPr>
              <w:t>Cooling Tower</w:t>
            </w:r>
          </w:p>
        </w:tc>
      </w:tr>
      <w:tr w:rsidR="00A109FB" w:rsidRPr="00C1121B" w:rsidTr="00A01222">
        <w:trPr>
          <w:trHeight w:val="84"/>
        </w:trPr>
        <w:tc>
          <w:tcPr>
            <w:tcW w:w="1260" w:type="dxa"/>
            <w:tcBorders>
              <w:bottom w:val="single" w:sz="6" w:space="0" w:color="auto"/>
            </w:tcBorders>
            <w:shd w:val="clear" w:color="auto" w:fill="auto"/>
          </w:tcPr>
          <w:p w:rsidR="00A109FB" w:rsidRPr="00C1121B" w:rsidRDefault="00A109FB" w:rsidP="00CB358A">
            <w:pPr>
              <w:jc w:val="center"/>
              <w:rPr>
                <w:sz w:val="22"/>
              </w:rPr>
            </w:pPr>
            <w:r w:rsidRPr="00C1121B">
              <w:rPr>
                <w:sz w:val="22"/>
              </w:rPr>
              <w:t>010</w:t>
            </w:r>
          </w:p>
        </w:tc>
        <w:tc>
          <w:tcPr>
            <w:tcW w:w="8100" w:type="dxa"/>
            <w:tcBorders>
              <w:top w:val="single" w:sz="6" w:space="0" w:color="auto"/>
            </w:tcBorders>
            <w:shd w:val="clear" w:color="auto" w:fill="auto"/>
          </w:tcPr>
          <w:p w:rsidR="00A109FB" w:rsidRPr="00C1121B" w:rsidRDefault="00A109FB" w:rsidP="00CB358A">
            <w:pPr>
              <w:rPr>
                <w:sz w:val="22"/>
              </w:rPr>
            </w:pPr>
            <w:r w:rsidRPr="00C1121B">
              <w:rPr>
                <w:sz w:val="22"/>
              </w:rPr>
              <w:t>Portable Welding Machine</w:t>
            </w:r>
          </w:p>
        </w:tc>
      </w:tr>
      <w:tr w:rsidR="00A109FB" w:rsidRPr="00C1121B" w:rsidTr="00A01222">
        <w:trPr>
          <w:trHeight w:val="84"/>
        </w:trPr>
        <w:tc>
          <w:tcPr>
            <w:tcW w:w="1260" w:type="dxa"/>
            <w:tcBorders>
              <w:bottom w:val="single" w:sz="6" w:space="0" w:color="auto"/>
            </w:tcBorders>
            <w:shd w:val="clear" w:color="auto" w:fill="auto"/>
          </w:tcPr>
          <w:p w:rsidR="00A109FB" w:rsidRPr="00C1121B" w:rsidRDefault="00A109FB" w:rsidP="00CB358A">
            <w:pPr>
              <w:jc w:val="center"/>
              <w:rPr>
                <w:sz w:val="22"/>
              </w:rPr>
            </w:pPr>
            <w:r w:rsidRPr="00C1121B">
              <w:rPr>
                <w:sz w:val="22"/>
              </w:rPr>
              <w:t>011</w:t>
            </w:r>
          </w:p>
        </w:tc>
        <w:tc>
          <w:tcPr>
            <w:tcW w:w="8100" w:type="dxa"/>
            <w:tcBorders>
              <w:top w:val="single" w:sz="6" w:space="0" w:color="auto"/>
            </w:tcBorders>
            <w:shd w:val="clear" w:color="auto" w:fill="auto"/>
          </w:tcPr>
          <w:p w:rsidR="00A109FB" w:rsidRPr="00C1121B" w:rsidRDefault="00A109FB" w:rsidP="00CB358A">
            <w:pPr>
              <w:rPr>
                <w:sz w:val="22"/>
              </w:rPr>
            </w:pPr>
            <w:r w:rsidRPr="00C1121B">
              <w:rPr>
                <w:sz w:val="22"/>
              </w:rPr>
              <w:t>Diesel Emergency Sump Pump</w:t>
            </w:r>
          </w:p>
        </w:tc>
      </w:tr>
      <w:tr w:rsidR="00A109FB" w:rsidRPr="00C1121B" w:rsidTr="00A01222">
        <w:trPr>
          <w:trHeight w:val="84"/>
        </w:trPr>
        <w:tc>
          <w:tcPr>
            <w:tcW w:w="1260" w:type="dxa"/>
            <w:tcBorders>
              <w:bottom w:val="single" w:sz="6" w:space="0" w:color="auto"/>
            </w:tcBorders>
            <w:shd w:val="clear" w:color="auto" w:fill="auto"/>
          </w:tcPr>
          <w:p w:rsidR="00A109FB" w:rsidRPr="00C1121B" w:rsidRDefault="00A109FB" w:rsidP="00CB358A">
            <w:pPr>
              <w:jc w:val="center"/>
              <w:rPr>
                <w:sz w:val="22"/>
              </w:rPr>
            </w:pPr>
            <w:r w:rsidRPr="00C1121B">
              <w:rPr>
                <w:sz w:val="22"/>
              </w:rPr>
              <w:t>012</w:t>
            </w:r>
          </w:p>
        </w:tc>
        <w:tc>
          <w:tcPr>
            <w:tcW w:w="8100" w:type="dxa"/>
            <w:tcBorders>
              <w:top w:val="single" w:sz="6" w:space="0" w:color="auto"/>
            </w:tcBorders>
            <w:shd w:val="clear" w:color="auto" w:fill="auto"/>
          </w:tcPr>
          <w:p w:rsidR="00A109FB" w:rsidRPr="00C1121B" w:rsidRDefault="00A109FB" w:rsidP="00CB358A">
            <w:pPr>
              <w:rPr>
                <w:sz w:val="22"/>
              </w:rPr>
            </w:pPr>
            <w:r w:rsidRPr="00C1121B">
              <w:rPr>
                <w:sz w:val="22"/>
                <w:szCs w:val="22"/>
              </w:rPr>
              <w:t>Diesel Emergency Generator for units -001 and -002</w:t>
            </w:r>
          </w:p>
        </w:tc>
      </w:tr>
      <w:tr w:rsidR="00A109FB" w:rsidRPr="00C1121B" w:rsidTr="00A01222">
        <w:trPr>
          <w:trHeight w:val="84"/>
        </w:trPr>
        <w:tc>
          <w:tcPr>
            <w:tcW w:w="9360" w:type="dxa"/>
            <w:gridSpan w:val="2"/>
            <w:tcBorders>
              <w:bottom w:val="single" w:sz="6" w:space="0" w:color="auto"/>
            </w:tcBorders>
            <w:shd w:val="clear" w:color="auto" w:fill="auto"/>
          </w:tcPr>
          <w:p w:rsidR="00A109FB" w:rsidRPr="00C1121B" w:rsidRDefault="00A109FB" w:rsidP="00CB358A">
            <w:pPr>
              <w:ind w:left="108"/>
              <w:rPr>
                <w:sz w:val="22"/>
              </w:rPr>
            </w:pPr>
            <w:r>
              <w:rPr>
                <w:b/>
                <w:bCs/>
                <w:i/>
                <w:iCs/>
                <w:sz w:val="22"/>
                <w:szCs w:val="22"/>
              </w:rPr>
              <w:t>Unregulated Emissions Units and Activities</w:t>
            </w:r>
          </w:p>
        </w:tc>
      </w:tr>
      <w:tr w:rsidR="00A109FB" w:rsidRPr="00C1121B" w:rsidTr="00A01222">
        <w:trPr>
          <w:trHeight w:val="83"/>
        </w:trPr>
        <w:tc>
          <w:tcPr>
            <w:tcW w:w="1260" w:type="dxa"/>
            <w:tcBorders>
              <w:top w:val="single" w:sz="6" w:space="0" w:color="auto"/>
              <w:bottom w:val="single" w:sz="6" w:space="0" w:color="auto"/>
            </w:tcBorders>
            <w:shd w:val="clear" w:color="auto" w:fill="auto"/>
          </w:tcPr>
          <w:p w:rsidR="00A109FB" w:rsidRPr="00C1121B" w:rsidRDefault="00A109FB" w:rsidP="00CB358A">
            <w:pPr>
              <w:jc w:val="center"/>
              <w:rPr>
                <w:sz w:val="22"/>
              </w:rPr>
            </w:pPr>
            <w:r w:rsidRPr="00C1121B">
              <w:rPr>
                <w:sz w:val="22"/>
              </w:rPr>
              <w:t>007</w:t>
            </w:r>
          </w:p>
        </w:tc>
        <w:tc>
          <w:tcPr>
            <w:tcW w:w="8100" w:type="dxa"/>
            <w:tcBorders>
              <w:bottom w:val="single" w:sz="6" w:space="0" w:color="auto"/>
            </w:tcBorders>
            <w:shd w:val="clear" w:color="auto" w:fill="auto"/>
          </w:tcPr>
          <w:p w:rsidR="00A109FB" w:rsidRPr="00C1121B" w:rsidRDefault="00A109FB" w:rsidP="00CB358A">
            <w:pPr>
              <w:rPr>
                <w:sz w:val="22"/>
              </w:rPr>
            </w:pPr>
            <w:r w:rsidRPr="00C1121B">
              <w:rPr>
                <w:sz w:val="22"/>
              </w:rPr>
              <w:t>Material Handling of Coal and Ash</w:t>
            </w:r>
          </w:p>
        </w:tc>
      </w:tr>
      <w:tr w:rsidR="00A109FB" w:rsidRPr="00C1121B" w:rsidTr="00A01222">
        <w:trPr>
          <w:trHeight w:val="126"/>
        </w:trPr>
        <w:tc>
          <w:tcPr>
            <w:tcW w:w="1260" w:type="dxa"/>
            <w:tcBorders>
              <w:top w:val="single" w:sz="6" w:space="0" w:color="auto"/>
            </w:tcBorders>
            <w:shd w:val="clear" w:color="auto" w:fill="auto"/>
          </w:tcPr>
          <w:p w:rsidR="00A109FB" w:rsidRPr="00C1121B" w:rsidRDefault="00A109FB" w:rsidP="00CB358A">
            <w:pPr>
              <w:jc w:val="center"/>
              <w:rPr>
                <w:sz w:val="22"/>
              </w:rPr>
            </w:pPr>
            <w:r w:rsidRPr="00C1121B">
              <w:rPr>
                <w:sz w:val="22"/>
              </w:rPr>
              <w:t>008</w:t>
            </w:r>
          </w:p>
        </w:tc>
        <w:tc>
          <w:tcPr>
            <w:tcW w:w="8100" w:type="dxa"/>
            <w:tcBorders>
              <w:top w:val="single" w:sz="6" w:space="0" w:color="auto"/>
              <w:bottom w:val="single" w:sz="6" w:space="0" w:color="auto"/>
            </w:tcBorders>
            <w:shd w:val="clear" w:color="auto" w:fill="auto"/>
          </w:tcPr>
          <w:p w:rsidR="00A109FB" w:rsidRPr="00C1121B" w:rsidRDefault="00A109FB" w:rsidP="00CB358A">
            <w:pPr>
              <w:rPr>
                <w:sz w:val="22"/>
              </w:rPr>
            </w:pPr>
            <w:r w:rsidRPr="00C1121B">
              <w:rPr>
                <w:sz w:val="22"/>
              </w:rPr>
              <w:t>Fugitive PM Sources - On-site Vehicles</w:t>
            </w:r>
          </w:p>
        </w:tc>
      </w:tr>
      <w:tr w:rsidR="00A109FB" w:rsidRPr="00C1121B" w:rsidTr="00A01222">
        <w:trPr>
          <w:trHeight w:val="126"/>
        </w:trPr>
        <w:tc>
          <w:tcPr>
            <w:tcW w:w="1260" w:type="dxa"/>
            <w:tcBorders>
              <w:bottom w:val="single" w:sz="12" w:space="0" w:color="auto"/>
            </w:tcBorders>
            <w:shd w:val="clear" w:color="auto" w:fill="auto"/>
          </w:tcPr>
          <w:p w:rsidR="00A109FB" w:rsidRPr="00C1121B" w:rsidRDefault="00A109FB" w:rsidP="00CB358A">
            <w:pPr>
              <w:jc w:val="center"/>
              <w:rPr>
                <w:sz w:val="22"/>
              </w:rPr>
            </w:pPr>
            <w:r w:rsidRPr="00C1121B">
              <w:rPr>
                <w:sz w:val="22"/>
              </w:rPr>
              <w:t>009</w:t>
            </w:r>
          </w:p>
        </w:tc>
        <w:tc>
          <w:tcPr>
            <w:tcW w:w="8100" w:type="dxa"/>
            <w:tcBorders>
              <w:top w:val="single" w:sz="6" w:space="0" w:color="auto"/>
              <w:bottom w:val="single" w:sz="12" w:space="0" w:color="auto"/>
            </w:tcBorders>
            <w:shd w:val="clear" w:color="auto" w:fill="auto"/>
          </w:tcPr>
          <w:p w:rsidR="00A109FB" w:rsidRPr="00C1121B" w:rsidRDefault="00A109FB" w:rsidP="00CB358A">
            <w:pPr>
              <w:rPr>
                <w:sz w:val="22"/>
              </w:rPr>
            </w:pPr>
            <w:r w:rsidRPr="00C1121B">
              <w:rPr>
                <w:sz w:val="22"/>
              </w:rPr>
              <w:t>General Purpose Internal Combustion Engines</w:t>
            </w:r>
          </w:p>
        </w:tc>
      </w:tr>
    </w:tbl>
    <w:p w:rsidR="00A109FB" w:rsidRDefault="008168C4" w:rsidP="00A109FB">
      <w:pPr>
        <w:pStyle w:val="BodyText3"/>
        <w:spacing w:after="60"/>
        <w:rPr>
          <w:szCs w:val="22"/>
        </w:rPr>
      </w:pPr>
      <w:r>
        <w:rPr>
          <w:szCs w:val="22"/>
        </w:rPr>
        <w:t>Units</w:t>
      </w:r>
      <w:r w:rsidR="00A109FB" w:rsidRPr="00A109FB">
        <w:rPr>
          <w:szCs w:val="22"/>
        </w:rPr>
        <w:t xml:space="preserve"> 1 and 2 have a common 199-foot stack and are equipped with the air pollution control and measurement equipment</w:t>
      </w:r>
      <w:r w:rsidR="00A109FB">
        <w:rPr>
          <w:szCs w:val="22"/>
        </w:rPr>
        <w:t xml:space="preserve"> listed below:</w:t>
      </w:r>
    </w:p>
    <w:p w:rsidR="00A109FB" w:rsidRPr="005F6026" w:rsidRDefault="00945809" w:rsidP="00D165BD">
      <w:pPr>
        <w:pStyle w:val="BodyText3"/>
        <w:numPr>
          <w:ilvl w:val="0"/>
          <w:numId w:val="14"/>
        </w:numPr>
        <w:spacing w:before="0" w:after="60"/>
        <w:rPr>
          <w:szCs w:val="22"/>
        </w:rPr>
      </w:pPr>
      <w:r>
        <w:t>H</w:t>
      </w:r>
      <w:r w:rsidR="00A109FB">
        <w:t xml:space="preserve">ot and cold side </w:t>
      </w:r>
      <w:r w:rsidR="00A109FB" w:rsidRPr="00027927">
        <w:t>electrostatic precipitator</w:t>
      </w:r>
      <w:r w:rsidR="00A109FB">
        <w:t>s</w:t>
      </w:r>
      <w:r w:rsidR="00A109FB" w:rsidRPr="00027927">
        <w:t xml:space="preserve"> to control particulate matter</w:t>
      </w:r>
      <w:r w:rsidR="00A109FB">
        <w:t xml:space="preserve"> (PM);</w:t>
      </w:r>
    </w:p>
    <w:p w:rsidR="00A109FB" w:rsidRPr="005F6026" w:rsidRDefault="00A109FB" w:rsidP="00D165BD">
      <w:pPr>
        <w:pStyle w:val="BodyText3"/>
        <w:numPr>
          <w:ilvl w:val="0"/>
          <w:numId w:val="14"/>
        </w:numPr>
        <w:spacing w:before="0" w:after="60"/>
        <w:rPr>
          <w:szCs w:val="22"/>
        </w:rPr>
      </w:pPr>
      <w:r>
        <w:t xml:space="preserve">Low </w:t>
      </w:r>
      <w:r w:rsidR="00E5292E">
        <w:t>nitrogen oxide (</w:t>
      </w:r>
      <w:r>
        <w:t>NO</w:t>
      </w:r>
      <w:r w:rsidRPr="005F6026">
        <w:rPr>
          <w:vertAlign w:val="subscript"/>
        </w:rPr>
        <w:t>X</w:t>
      </w:r>
      <w:r w:rsidR="00E5292E" w:rsidRPr="00E5292E">
        <w:t>)</w:t>
      </w:r>
      <w:r>
        <w:t xml:space="preserve"> burners and non-selective catalytic reduction (SNCR) system</w:t>
      </w:r>
      <w:r w:rsidR="00945809">
        <w:t>s</w:t>
      </w:r>
      <w:r>
        <w:t xml:space="preserve"> to control NO</w:t>
      </w:r>
      <w:r w:rsidRPr="00FA3DCC">
        <w:rPr>
          <w:vertAlign w:val="subscript"/>
        </w:rPr>
        <w:t>X</w:t>
      </w:r>
      <w:r>
        <w:t xml:space="preserve">; and </w:t>
      </w:r>
    </w:p>
    <w:p w:rsidR="00A109FB" w:rsidRDefault="00A109FB" w:rsidP="00D165BD">
      <w:pPr>
        <w:pStyle w:val="BodyText3"/>
        <w:numPr>
          <w:ilvl w:val="0"/>
          <w:numId w:val="14"/>
        </w:numPr>
        <w:spacing w:before="0"/>
        <w:rPr>
          <w:szCs w:val="22"/>
        </w:rPr>
      </w:pPr>
      <w:r>
        <w:rPr>
          <w:szCs w:val="22"/>
        </w:rPr>
        <w:t>Continuous emissions monitoring systems (CEMS) to measure and record NO</w:t>
      </w:r>
      <w:r w:rsidRPr="00E02357">
        <w:rPr>
          <w:szCs w:val="22"/>
          <w:vertAlign w:val="subscript"/>
        </w:rPr>
        <w:t>X</w:t>
      </w:r>
      <w:r>
        <w:rPr>
          <w:szCs w:val="22"/>
        </w:rPr>
        <w:t xml:space="preserve"> and </w:t>
      </w:r>
      <w:r w:rsidR="00E5292E">
        <w:rPr>
          <w:szCs w:val="22"/>
        </w:rPr>
        <w:t>sulfur dioxide (</w:t>
      </w:r>
      <w:r>
        <w:rPr>
          <w:szCs w:val="22"/>
        </w:rPr>
        <w:t>SO</w:t>
      </w:r>
      <w:r w:rsidRPr="00E02357">
        <w:rPr>
          <w:szCs w:val="22"/>
          <w:vertAlign w:val="subscript"/>
        </w:rPr>
        <w:t>2</w:t>
      </w:r>
      <w:r w:rsidR="00E5292E">
        <w:rPr>
          <w:szCs w:val="22"/>
        </w:rPr>
        <w:t>)</w:t>
      </w:r>
      <w:r w:rsidRPr="00EF45AE">
        <w:rPr>
          <w:szCs w:val="22"/>
        </w:rPr>
        <w:t xml:space="preserve"> </w:t>
      </w:r>
      <w:r>
        <w:rPr>
          <w:szCs w:val="22"/>
        </w:rPr>
        <w:t xml:space="preserve">emissions and </w:t>
      </w:r>
      <w:r w:rsidR="00945809">
        <w:rPr>
          <w:szCs w:val="22"/>
        </w:rPr>
        <w:t xml:space="preserve">a </w:t>
      </w:r>
      <w:r>
        <w:rPr>
          <w:szCs w:val="22"/>
        </w:rPr>
        <w:t xml:space="preserve">continuous opacity monitoring system (COMS) to measure and record the opacity of the exhaust gas.  </w:t>
      </w:r>
    </w:p>
    <w:p w:rsidR="00EE76BA" w:rsidRPr="008E145E" w:rsidRDefault="00EE76BA">
      <w:pPr>
        <w:pStyle w:val="ListParagraph"/>
        <w:numPr>
          <w:ilvl w:val="1"/>
          <w:numId w:val="11"/>
        </w:numPr>
        <w:spacing w:after="120"/>
        <w:ind w:left="540" w:hanging="540"/>
        <w:rPr>
          <w:b/>
          <w:bCs/>
          <w:sz w:val="22"/>
          <w:szCs w:val="22"/>
        </w:rPr>
      </w:pPr>
      <w:r w:rsidRPr="008E145E">
        <w:rPr>
          <w:b/>
          <w:bCs/>
          <w:sz w:val="22"/>
          <w:szCs w:val="22"/>
        </w:rPr>
        <w:t>F</w:t>
      </w:r>
      <w:r w:rsidR="008E145E" w:rsidRPr="008E145E">
        <w:rPr>
          <w:b/>
          <w:bCs/>
          <w:sz w:val="22"/>
          <w:szCs w:val="22"/>
        </w:rPr>
        <w:t xml:space="preserve">acility </w:t>
      </w:r>
      <w:r w:rsidR="008E145E">
        <w:rPr>
          <w:b/>
          <w:bCs/>
          <w:sz w:val="22"/>
          <w:szCs w:val="22"/>
        </w:rPr>
        <w:t>Regulatory Categories</w:t>
      </w:r>
    </w:p>
    <w:p w:rsidR="00F71458" w:rsidRPr="0012634A" w:rsidRDefault="00F71458" w:rsidP="00D165BD">
      <w:pPr>
        <w:numPr>
          <w:ilvl w:val="0"/>
          <w:numId w:val="3"/>
        </w:numPr>
        <w:tabs>
          <w:tab w:val="clear" w:pos="360"/>
          <w:tab w:val="num" w:pos="720"/>
        </w:tabs>
        <w:spacing w:after="120"/>
        <w:ind w:left="720"/>
        <w:rPr>
          <w:sz w:val="22"/>
          <w:szCs w:val="22"/>
        </w:rPr>
      </w:pPr>
      <w:r w:rsidRPr="0012634A">
        <w:rPr>
          <w:sz w:val="22"/>
          <w:szCs w:val="22"/>
        </w:rPr>
        <w:t xml:space="preserve">The facility </w:t>
      </w:r>
      <w:r w:rsidR="008E370B" w:rsidRPr="0012634A">
        <w:rPr>
          <w:sz w:val="22"/>
          <w:szCs w:val="22"/>
        </w:rPr>
        <w:t>is</w:t>
      </w:r>
      <w:r w:rsidRPr="0012634A">
        <w:rPr>
          <w:sz w:val="22"/>
          <w:szCs w:val="22"/>
        </w:rPr>
        <w:t xml:space="preserve"> a major source of hazardous air pollutants (HAP).</w:t>
      </w:r>
    </w:p>
    <w:p w:rsidR="00F71458" w:rsidRPr="0012634A" w:rsidRDefault="00F71458" w:rsidP="00D165BD">
      <w:pPr>
        <w:pStyle w:val="BodyText"/>
        <w:numPr>
          <w:ilvl w:val="0"/>
          <w:numId w:val="3"/>
        </w:numPr>
        <w:tabs>
          <w:tab w:val="clear" w:pos="360"/>
          <w:tab w:val="num" w:pos="720"/>
        </w:tabs>
        <w:ind w:left="720"/>
        <w:rPr>
          <w:sz w:val="22"/>
          <w:szCs w:val="22"/>
        </w:rPr>
      </w:pPr>
      <w:r w:rsidRPr="0012634A">
        <w:rPr>
          <w:sz w:val="22"/>
          <w:szCs w:val="22"/>
        </w:rPr>
        <w:t xml:space="preserve">The facility </w:t>
      </w:r>
      <w:r w:rsidR="008E370B" w:rsidRPr="0012634A">
        <w:rPr>
          <w:sz w:val="22"/>
          <w:szCs w:val="22"/>
        </w:rPr>
        <w:t>operates</w:t>
      </w:r>
      <w:r w:rsidR="00302267" w:rsidRPr="0012634A">
        <w:rPr>
          <w:sz w:val="22"/>
          <w:szCs w:val="22"/>
        </w:rPr>
        <w:t xml:space="preserve"> </w:t>
      </w:r>
      <w:r w:rsidRPr="0012634A">
        <w:rPr>
          <w:sz w:val="22"/>
          <w:szCs w:val="22"/>
        </w:rPr>
        <w:t>units subject to the acid rain provisions of the Clean Air Act.</w:t>
      </w:r>
    </w:p>
    <w:p w:rsidR="00F71458" w:rsidRPr="0012634A" w:rsidRDefault="00F71458" w:rsidP="00D165BD">
      <w:pPr>
        <w:numPr>
          <w:ilvl w:val="0"/>
          <w:numId w:val="3"/>
        </w:numPr>
        <w:tabs>
          <w:tab w:val="clear" w:pos="360"/>
          <w:tab w:val="num" w:pos="720"/>
        </w:tabs>
        <w:spacing w:after="120"/>
        <w:ind w:left="720"/>
        <w:rPr>
          <w:sz w:val="22"/>
          <w:szCs w:val="22"/>
        </w:rPr>
      </w:pPr>
      <w:r w:rsidRPr="0012634A">
        <w:rPr>
          <w:sz w:val="22"/>
          <w:szCs w:val="22"/>
        </w:rPr>
        <w:t xml:space="preserve">The facility </w:t>
      </w:r>
      <w:r w:rsidR="008E370B" w:rsidRPr="0012634A">
        <w:rPr>
          <w:sz w:val="22"/>
          <w:szCs w:val="22"/>
        </w:rPr>
        <w:t>is</w:t>
      </w:r>
      <w:r w:rsidRPr="0012634A">
        <w:rPr>
          <w:sz w:val="22"/>
          <w:szCs w:val="22"/>
        </w:rPr>
        <w:t xml:space="preserve"> a Title V major source of air pollution in accordance with Chapter </w:t>
      </w:r>
      <w:r w:rsidR="009F6095" w:rsidRPr="0012634A">
        <w:rPr>
          <w:sz w:val="22"/>
          <w:szCs w:val="22"/>
        </w:rPr>
        <w:t>62-</w:t>
      </w:r>
      <w:r w:rsidRPr="0012634A">
        <w:rPr>
          <w:sz w:val="22"/>
          <w:szCs w:val="22"/>
        </w:rPr>
        <w:t>213, F.A.C.</w:t>
      </w:r>
    </w:p>
    <w:p w:rsidR="00F71458" w:rsidRDefault="00F71458" w:rsidP="00D165BD">
      <w:pPr>
        <w:numPr>
          <w:ilvl w:val="0"/>
          <w:numId w:val="3"/>
        </w:numPr>
        <w:tabs>
          <w:tab w:val="clear" w:pos="360"/>
          <w:tab w:val="num" w:pos="720"/>
        </w:tabs>
        <w:spacing w:after="120"/>
        <w:ind w:left="720"/>
        <w:rPr>
          <w:sz w:val="22"/>
          <w:szCs w:val="22"/>
        </w:rPr>
      </w:pPr>
      <w:r w:rsidRPr="0012634A">
        <w:rPr>
          <w:sz w:val="22"/>
          <w:szCs w:val="22"/>
        </w:rPr>
        <w:t xml:space="preserve">The facility </w:t>
      </w:r>
      <w:r w:rsidR="008E370B" w:rsidRPr="0012634A">
        <w:rPr>
          <w:sz w:val="22"/>
          <w:szCs w:val="22"/>
        </w:rPr>
        <w:t>is</w:t>
      </w:r>
      <w:r w:rsidRPr="0012634A">
        <w:rPr>
          <w:sz w:val="22"/>
          <w:szCs w:val="22"/>
        </w:rPr>
        <w:t xml:space="preserve"> a major stationary source in accordance with Rule 62-212.400, F.A.C. for the Prevention of Significant Deterioration (PSD) of Air Quality.</w:t>
      </w:r>
    </w:p>
    <w:p w:rsidR="008168C4" w:rsidRDefault="008168C4" w:rsidP="00D165BD">
      <w:pPr>
        <w:numPr>
          <w:ilvl w:val="0"/>
          <w:numId w:val="3"/>
        </w:numPr>
        <w:tabs>
          <w:tab w:val="clear" w:pos="360"/>
          <w:tab w:val="left" w:pos="630"/>
          <w:tab w:val="left" w:pos="720"/>
          <w:tab w:val="left" w:pos="1080"/>
          <w:tab w:val="left" w:pos="1440"/>
          <w:tab w:val="right" w:pos="10080"/>
        </w:tabs>
        <w:spacing w:after="120"/>
        <w:ind w:left="720"/>
        <w:rPr>
          <w:sz w:val="22"/>
          <w:szCs w:val="22"/>
        </w:rPr>
      </w:pPr>
      <w:r w:rsidRPr="007A23B8">
        <w:rPr>
          <w:sz w:val="22"/>
          <w:szCs w:val="22"/>
        </w:rPr>
        <w:t>The facility is subject to the Clean Air Interstate Rule (CAIR) set forth in Rule 62-296.470, Florida Administrative Code (F.A.C.</w:t>
      </w:r>
      <w:r>
        <w:rPr>
          <w:sz w:val="22"/>
          <w:szCs w:val="22"/>
        </w:rPr>
        <w:t>)</w:t>
      </w:r>
    </w:p>
    <w:p w:rsidR="008168C4" w:rsidRPr="008168C4" w:rsidRDefault="008168C4" w:rsidP="00D165BD">
      <w:pPr>
        <w:numPr>
          <w:ilvl w:val="0"/>
          <w:numId w:val="3"/>
        </w:numPr>
        <w:tabs>
          <w:tab w:val="clear" w:pos="360"/>
          <w:tab w:val="left" w:pos="720"/>
          <w:tab w:val="left" w:pos="1080"/>
          <w:tab w:val="left" w:pos="1440"/>
          <w:tab w:val="right" w:pos="10080"/>
        </w:tabs>
        <w:spacing w:after="120"/>
        <w:ind w:left="720"/>
        <w:rPr>
          <w:sz w:val="22"/>
          <w:szCs w:val="22"/>
        </w:rPr>
      </w:pPr>
      <w:r w:rsidRPr="00C8580B">
        <w:rPr>
          <w:sz w:val="22"/>
          <w:szCs w:val="22"/>
        </w:rPr>
        <w:t>The facility operates units subject to the Standards of Performance for New Stationary Sources</w:t>
      </w:r>
      <w:r>
        <w:rPr>
          <w:sz w:val="22"/>
          <w:szCs w:val="22"/>
        </w:rPr>
        <w:t xml:space="preserve"> (NSPS)</w:t>
      </w:r>
      <w:r w:rsidRPr="00C8580B">
        <w:rPr>
          <w:sz w:val="22"/>
          <w:szCs w:val="22"/>
        </w:rPr>
        <w:t xml:space="preserve"> pursuant to 40 CFR Part 60.</w:t>
      </w:r>
    </w:p>
    <w:p w:rsidR="00EE76BA" w:rsidRDefault="00DD549A">
      <w:pPr>
        <w:pStyle w:val="ListParagraph"/>
        <w:numPr>
          <w:ilvl w:val="1"/>
          <w:numId w:val="11"/>
        </w:numPr>
        <w:spacing w:after="120"/>
        <w:ind w:left="540" w:hanging="540"/>
        <w:rPr>
          <w:b/>
          <w:bCs/>
          <w:sz w:val="22"/>
          <w:szCs w:val="22"/>
        </w:rPr>
      </w:pPr>
      <w:r>
        <w:rPr>
          <w:b/>
          <w:bCs/>
          <w:sz w:val="22"/>
          <w:szCs w:val="22"/>
        </w:rPr>
        <w:t>Application</w:t>
      </w:r>
    </w:p>
    <w:p w:rsidR="00B444AF" w:rsidRDefault="00DD549A" w:rsidP="00DD549A">
      <w:pPr>
        <w:spacing w:after="120"/>
        <w:rPr>
          <w:sz w:val="22"/>
          <w:szCs w:val="22"/>
        </w:rPr>
      </w:pPr>
      <w:r w:rsidRPr="00AE2D88">
        <w:rPr>
          <w:bCs/>
          <w:sz w:val="22"/>
          <w:szCs w:val="22"/>
        </w:rPr>
        <w:t xml:space="preserve">On </w:t>
      </w:r>
      <w:r w:rsidR="00B238FE">
        <w:rPr>
          <w:bCs/>
          <w:sz w:val="22"/>
          <w:szCs w:val="22"/>
        </w:rPr>
        <w:t>October</w:t>
      </w:r>
      <w:r w:rsidRPr="00AE2D88">
        <w:rPr>
          <w:bCs/>
          <w:sz w:val="22"/>
          <w:szCs w:val="22"/>
        </w:rPr>
        <w:t xml:space="preserve"> </w:t>
      </w:r>
      <w:r>
        <w:rPr>
          <w:bCs/>
          <w:sz w:val="22"/>
          <w:szCs w:val="22"/>
        </w:rPr>
        <w:t>1</w:t>
      </w:r>
      <w:r w:rsidR="00B238FE">
        <w:rPr>
          <w:bCs/>
          <w:sz w:val="22"/>
          <w:szCs w:val="22"/>
        </w:rPr>
        <w:t>8</w:t>
      </w:r>
      <w:r w:rsidRPr="00AE2D88">
        <w:rPr>
          <w:bCs/>
          <w:sz w:val="22"/>
          <w:szCs w:val="22"/>
        </w:rPr>
        <w:t xml:space="preserve">, 2013, </w:t>
      </w:r>
      <w:r>
        <w:rPr>
          <w:bCs/>
          <w:sz w:val="22"/>
          <w:szCs w:val="22"/>
        </w:rPr>
        <w:t>Gulf Power Corporation</w:t>
      </w:r>
      <w:r w:rsidRPr="00AE2D88">
        <w:rPr>
          <w:bCs/>
          <w:sz w:val="22"/>
          <w:szCs w:val="22"/>
        </w:rPr>
        <w:t xml:space="preserve"> submitted an air construction permit application for </w:t>
      </w:r>
      <w:r>
        <w:rPr>
          <w:bCs/>
          <w:sz w:val="22"/>
          <w:szCs w:val="22"/>
        </w:rPr>
        <w:t xml:space="preserve">Lansing Smith Generating Plant Units </w:t>
      </w:r>
      <w:r w:rsidRPr="00AE2D88">
        <w:rPr>
          <w:bCs/>
          <w:sz w:val="22"/>
          <w:szCs w:val="22"/>
        </w:rPr>
        <w:t xml:space="preserve">1 and 2.  The application </w:t>
      </w:r>
      <w:r w:rsidRPr="00AE2D88">
        <w:rPr>
          <w:sz w:val="22"/>
          <w:szCs w:val="22"/>
        </w:rPr>
        <w:t xml:space="preserve">may be accessed by entering permit No. </w:t>
      </w:r>
      <w:r>
        <w:rPr>
          <w:sz w:val="22"/>
          <w:szCs w:val="22"/>
        </w:rPr>
        <w:t>0050014</w:t>
      </w:r>
      <w:r w:rsidRPr="00AE2D88">
        <w:rPr>
          <w:sz w:val="22"/>
          <w:szCs w:val="22"/>
        </w:rPr>
        <w:t>-0</w:t>
      </w:r>
      <w:r>
        <w:rPr>
          <w:sz w:val="22"/>
          <w:szCs w:val="22"/>
        </w:rPr>
        <w:t>2</w:t>
      </w:r>
      <w:r w:rsidR="00B238FE">
        <w:rPr>
          <w:sz w:val="22"/>
          <w:szCs w:val="22"/>
        </w:rPr>
        <w:t>4</w:t>
      </w:r>
      <w:r w:rsidRPr="00AE2D88">
        <w:rPr>
          <w:sz w:val="22"/>
          <w:szCs w:val="22"/>
        </w:rPr>
        <w:t xml:space="preserve">-AC on the following web site:  </w:t>
      </w:r>
      <w:hyperlink r:id="rId11" w:history="1">
        <w:r w:rsidRPr="00AE2D88">
          <w:rPr>
            <w:rStyle w:val="Hyperlink"/>
            <w:sz w:val="22"/>
            <w:szCs w:val="22"/>
          </w:rPr>
          <w:t>http://www.dep.state.fl.us/air/emission/apds/default.asp</w:t>
        </w:r>
      </w:hyperlink>
      <w:r w:rsidRPr="00AE2D88">
        <w:rPr>
          <w:sz w:val="22"/>
          <w:szCs w:val="22"/>
        </w:rPr>
        <w:t>.</w:t>
      </w:r>
    </w:p>
    <w:p w:rsidR="00DD549A" w:rsidRPr="008E145E" w:rsidRDefault="00DD549A">
      <w:pPr>
        <w:pStyle w:val="ListParagraph"/>
        <w:numPr>
          <w:ilvl w:val="1"/>
          <w:numId w:val="11"/>
        </w:numPr>
        <w:spacing w:after="120"/>
        <w:ind w:left="540" w:hanging="540"/>
        <w:rPr>
          <w:b/>
          <w:bCs/>
          <w:sz w:val="22"/>
          <w:szCs w:val="22"/>
        </w:rPr>
      </w:pPr>
      <w:r w:rsidRPr="008E145E">
        <w:rPr>
          <w:b/>
          <w:bCs/>
          <w:sz w:val="22"/>
          <w:szCs w:val="22"/>
        </w:rPr>
        <w:lastRenderedPageBreak/>
        <w:t>P</w:t>
      </w:r>
      <w:r>
        <w:rPr>
          <w:b/>
          <w:bCs/>
          <w:sz w:val="22"/>
          <w:szCs w:val="22"/>
        </w:rPr>
        <w:t>roject Description</w:t>
      </w:r>
    </w:p>
    <w:p w:rsidR="00107B1D" w:rsidRDefault="00E06730" w:rsidP="005D11DD">
      <w:pPr>
        <w:pStyle w:val="BodyText2"/>
        <w:numPr>
          <w:ilvl w:val="0"/>
          <w:numId w:val="0"/>
        </w:numPr>
        <w:jc w:val="left"/>
        <w:rPr>
          <w:szCs w:val="22"/>
        </w:rPr>
      </w:pPr>
      <w:r>
        <w:rPr>
          <w:szCs w:val="22"/>
        </w:rPr>
        <w:t xml:space="preserve">The project conducted on units 1 and 2 is considered </w:t>
      </w:r>
      <w:r w:rsidR="00083A0D">
        <w:rPr>
          <w:szCs w:val="22"/>
        </w:rPr>
        <w:t xml:space="preserve">an </w:t>
      </w:r>
      <w:r w:rsidR="00915A52">
        <w:rPr>
          <w:szCs w:val="22"/>
        </w:rPr>
        <w:t>engineering and design improvement assessment project.</w:t>
      </w:r>
      <w:r w:rsidR="00083A0D">
        <w:rPr>
          <w:szCs w:val="22"/>
        </w:rPr>
        <w:t xml:space="preserve">  </w:t>
      </w:r>
      <w:r w:rsidR="00915A52">
        <w:rPr>
          <w:szCs w:val="22"/>
        </w:rPr>
        <w:t xml:space="preserve">The objective of this project is to finalize Gulf Power’s compliance plan to meet the Best Available Retrofit Technology (BART) and Mercury and Air Toxic Standards (MATS) air quality reduction goals.  </w:t>
      </w:r>
      <w:r w:rsidR="00083A0D">
        <w:rPr>
          <w:szCs w:val="22"/>
        </w:rPr>
        <w:t>For this test series</w:t>
      </w:r>
      <w:r w:rsidR="005033E8">
        <w:rPr>
          <w:szCs w:val="22"/>
        </w:rPr>
        <w:t>,</w:t>
      </w:r>
      <w:r w:rsidRPr="00177251">
        <w:rPr>
          <w:szCs w:val="22"/>
        </w:rPr>
        <w:t xml:space="preserve"> several emissions control sorbent additives called Hydrated Lime, Trona, and Activated Carbon</w:t>
      </w:r>
      <w:r w:rsidR="00083A0D">
        <w:rPr>
          <w:szCs w:val="22"/>
        </w:rPr>
        <w:t xml:space="preserve"> wil</w:t>
      </w:r>
      <w:r w:rsidR="00915A52">
        <w:rPr>
          <w:szCs w:val="22"/>
        </w:rPr>
        <w:t>l be injected at various points</w:t>
      </w:r>
      <w:r>
        <w:rPr>
          <w:szCs w:val="22"/>
        </w:rPr>
        <w:t xml:space="preserve"> to reduce combustion emissions of </w:t>
      </w:r>
      <w:r w:rsidR="00915A52">
        <w:rPr>
          <w:szCs w:val="22"/>
        </w:rPr>
        <w:t>sulfur dioxide (</w:t>
      </w:r>
      <w:r>
        <w:rPr>
          <w:szCs w:val="22"/>
        </w:rPr>
        <w:t>SO</w:t>
      </w:r>
      <w:r>
        <w:rPr>
          <w:szCs w:val="22"/>
          <w:vertAlign w:val="subscript"/>
        </w:rPr>
        <w:t>2</w:t>
      </w:r>
      <w:r w:rsidR="00915A52">
        <w:rPr>
          <w:szCs w:val="22"/>
        </w:rPr>
        <w:t>)</w:t>
      </w:r>
      <w:r>
        <w:rPr>
          <w:szCs w:val="22"/>
        </w:rPr>
        <w:t xml:space="preserve">, </w:t>
      </w:r>
      <w:r w:rsidR="00887F13">
        <w:rPr>
          <w:szCs w:val="22"/>
        </w:rPr>
        <w:t>hydrogen chloride (</w:t>
      </w:r>
      <w:r>
        <w:rPr>
          <w:szCs w:val="22"/>
        </w:rPr>
        <w:t>HCl</w:t>
      </w:r>
      <w:r w:rsidR="00887F13">
        <w:rPr>
          <w:szCs w:val="22"/>
        </w:rPr>
        <w:t>)</w:t>
      </w:r>
      <w:r>
        <w:rPr>
          <w:szCs w:val="22"/>
        </w:rPr>
        <w:t>, and</w:t>
      </w:r>
      <w:r w:rsidR="00887F13">
        <w:rPr>
          <w:szCs w:val="22"/>
        </w:rPr>
        <w:t xml:space="preserve"> mercury</w:t>
      </w:r>
      <w:r>
        <w:rPr>
          <w:szCs w:val="22"/>
        </w:rPr>
        <w:t xml:space="preserve"> </w:t>
      </w:r>
      <w:r w:rsidR="00887F13">
        <w:rPr>
          <w:szCs w:val="22"/>
        </w:rPr>
        <w:t>(</w:t>
      </w:r>
      <w:r>
        <w:rPr>
          <w:szCs w:val="22"/>
        </w:rPr>
        <w:t>Hg</w:t>
      </w:r>
      <w:r w:rsidR="00887F13">
        <w:rPr>
          <w:szCs w:val="22"/>
        </w:rPr>
        <w:t>)</w:t>
      </w:r>
      <w:r>
        <w:rPr>
          <w:szCs w:val="22"/>
        </w:rPr>
        <w:t xml:space="preserve">.  </w:t>
      </w:r>
      <w:r w:rsidR="00887F13">
        <w:rPr>
          <w:szCs w:val="22"/>
        </w:rPr>
        <w:t xml:space="preserve">The additives will be injected into the boiler, EPSs, or ductwork </w:t>
      </w:r>
      <w:r w:rsidR="00B53F5D">
        <w:rPr>
          <w:szCs w:val="22"/>
        </w:rPr>
        <w:t>during the test burn program to decipher the optimal injection zone for the sorbents</w:t>
      </w:r>
      <w:r w:rsidR="005033E8">
        <w:rPr>
          <w:szCs w:val="22"/>
        </w:rPr>
        <w:t xml:space="preserve"> in order to meet emissions reduction goals</w:t>
      </w:r>
      <w:r w:rsidR="00B53F5D">
        <w:rPr>
          <w:szCs w:val="22"/>
        </w:rPr>
        <w:t>.</w:t>
      </w:r>
      <w:r w:rsidR="00915A52">
        <w:rPr>
          <w:szCs w:val="22"/>
        </w:rPr>
        <w:t xml:space="preserve">  </w:t>
      </w:r>
      <w:r w:rsidR="002C2858">
        <w:rPr>
          <w:szCs w:val="22"/>
        </w:rPr>
        <w:t>In conjunction with the design assessment t</w:t>
      </w:r>
      <w:r w:rsidR="00915A52">
        <w:rPr>
          <w:szCs w:val="22"/>
        </w:rPr>
        <w:t xml:space="preserve">he </w:t>
      </w:r>
      <w:r w:rsidR="002C2858">
        <w:rPr>
          <w:szCs w:val="22"/>
        </w:rPr>
        <w:t xml:space="preserve">facility will </w:t>
      </w:r>
      <w:r w:rsidR="005033E8">
        <w:rPr>
          <w:szCs w:val="22"/>
        </w:rPr>
        <w:t>be conducting a sorbent study to determine if there are long term impacts on the Air-preheater and ESP’s from the use of the additives.</w:t>
      </w:r>
    </w:p>
    <w:p w:rsidR="0046188C" w:rsidRDefault="0046188C" w:rsidP="00E0338C">
      <w:pPr>
        <w:pStyle w:val="Default"/>
        <w:spacing w:after="120"/>
        <w:rPr>
          <w:sz w:val="22"/>
          <w:szCs w:val="22"/>
        </w:rPr>
      </w:pPr>
      <w:r w:rsidRPr="00E0338C">
        <w:rPr>
          <w:sz w:val="22"/>
          <w:szCs w:val="22"/>
        </w:rPr>
        <w:t xml:space="preserve">The additional mass loading increases the volume of ash to be handled.  </w:t>
      </w:r>
      <w:r w:rsidR="00E0338C">
        <w:rPr>
          <w:sz w:val="22"/>
          <w:szCs w:val="22"/>
        </w:rPr>
        <w:t>With the addition of Trona, hydrated lime, and activated carbon t</w:t>
      </w:r>
      <w:r w:rsidRPr="00E0338C">
        <w:rPr>
          <w:sz w:val="22"/>
          <w:szCs w:val="22"/>
        </w:rPr>
        <w:t>here is at least the possibility of so</w:t>
      </w:r>
      <w:r w:rsidR="009E51EE">
        <w:rPr>
          <w:sz w:val="22"/>
          <w:szCs w:val="22"/>
        </w:rPr>
        <w:t>me minor changes in the coal,</w:t>
      </w:r>
      <w:r w:rsidRPr="00E0338C">
        <w:rPr>
          <w:sz w:val="22"/>
          <w:szCs w:val="22"/>
        </w:rPr>
        <w:t xml:space="preserve"> ash handling systems</w:t>
      </w:r>
      <w:r w:rsidR="009E51EE">
        <w:rPr>
          <w:sz w:val="22"/>
          <w:szCs w:val="22"/>
        </w:rPr>
        <w:t>, and pollution control equipment</w:t>
      </w:r>
      <w:r w:rsidRPr="00E0338C">
        <w:rPr>
          <w:sz w:val="22"/>
          <w:szCs w:val="22"/>
        </w:rPr>
        <w:t xml:space="preserve"> to facilitate the overall </w:t>
      </w:r>
      <w:r w:rsidR="009E51EE">
        <w:rPr>
          <w:sz w:val="22"/>
          <w:szCs w:val="22"/>
        </w:rPr>
        <w:t>emissions</w:t>
      </w:r>
      <w:r w:rsidRPr="00E0338C">
        <w:rPr>
          <w:sz w:val="22"/>
          <w:szCs w:val="22"/>
        </w:rPr>
        <w:t xml:space="preserve"> reduction objective.</w:t>
      </w:r>
    </w:p>
    <w:p w:rsidR="009E51EE" w:rsidRDefault="00D22B7E" w:rsidP="00E0338C">
      <w:pPr>
        <w:pStyle w:val="Default"/>
        <w:spacing w:after="120"/>
        <w:rPr>
          <w:sz w:val="22"/>
          <w:szCs w:val="22"/>
        </w:rPr>
      </w:pPr>
      <w:r>
        <w:rPr>
          <w:sz w:val="22"/>
          <w:szCs w:val="22"/>
        </w:rPr>
        <w:t>For the Gulf Power Lansing Smith tests, the following temporary operations and equipment are required:</w:t>
      </w:r>
    </w:p>
    <w:p w:rsidR="00D22B7E" w:rsidRDefault="00D22B7E" w:rsidP="00D22B7E">
      <w:pPr>
        <w:pStyle w:val="Default"/>
        <w:numPr>
          <w:ilvl w:val="0"/>
          <w:numId w:val="20"/>
        </w:numPr>
        <w:spacing w:after="120"/>
        <w:rPr>
          <w:sz w:val="22"/>
          <w:szCs w:val="22"/>
        </w:rPr>
      </w:pPr>
      <w:r>
        <w:rPr>
          <w:sz w:val="22"/>
          <w:szCs w:val="22"/>
        </w:rPr>
        <w:t>A silo filled by hydrated lime tanker truck, a blower truck, small heat exchanger, and injection lances for the boiler, ESPs, or ductwork.</w:t>
      </w:r>
    </w:p>
    <w:p w:rsidR="00D22B7E" w:rsidRDefault="00D22B7E" w:rsidP="00D22B7E">
      <w:pPr>
        <w:pStyle w:val="Default"/>
        <w:numPr>
          <w:ilvl w:val="0"/>
          <w:numId w:val="20"/>
        </w:numPr>
        <w:spacing w:after="120"/>
        <w:rPr>
          <w:sz w:val="22"/>
          <w:szCs w:val="22"/>
        </w:rPr>
      </w:pPr>
      <w:r>
        <w:rPr>
          <w:sz w:val="22"/>
          <w:szCs w:val="22"/>
        </w:rPr>
        <w:t>A silo filled by Trona tanker truck, in-line pin mill, blower truck, small heat exchanger, and injection lances for the boiler, ESPs, or ductwork.</w:t>
      </w:r>
    </w:p>
    <w:p w:rsidR="00D22B7E" w:rsidRPr="00E0338C" w:rsidRDefault="00D22B7E" w:rsidP="00D22B7E">
      <w:pPr>
        <w:pStyle w:val="Default"/>
        <w:numPr>
          <w:ilvl w:val="0"/>
          <w:numId w:val="20"/>
        </w:numPr>
        <w:spacing w:after="120"/>
        <w:rPr>
          <w:sz w:val="22"/>
          <w:szCs w:val="22"/>
        </w:rPr>
      </w:pPr>
      <w:r>
        <w:rPr>
          <w:sz w:val="22"/>
          <w:szCs w:val="22"/>
        </w:rPr>
        <w:t>A trailer mounted blower conveying powder activated carbon through injection lances into the boiler, ESPs, or ductwork.</w:t>
      </w:r>
    </w:p>
    <w:p w:rsidR="000B7E82" w:rsidRPr="00E0338C" w:rsidRDefault="000B7E82" w:rsidP="000B7E82">
      <w:pPr>
        <w:pStyle w:val="ListParagraph"/>
        <w:numPr>
          <w:ilvl w:val="1"/>
          <w:numId w:val="11"/>
        </w:numPr>
        <w:spacing w:after="120"/>
        <w:ind w:left="540" w:hanging="540"/>
        <w:rPr>
          <w:b/>
          <w:bCs/>
          <w:sz w:val="22"/>
          <w:szCs w:val="22"/>
        </w:rPr>
      </w:pPr>
      <w:r w:rsidRPr="00E0338C">
        <w:rPr>
          <w:b/>
          <w:bCs/>
          <w:sz w:val="22"/>
          <w:szCs w:val="22"/>
        </w:rPr>
        <w:t>Processing Schedule</w:t>
      </w:r>
    </w:p>
    <w:p w:rsidR="001C4E37" w:rsidRPr="003D1DA4" w:rsidRDefault="00160267" w:rsidP="00BC3FFB">
      <w:pPr>
        <w:pStyle w:val="BodyText"/>
        <w:numPr>
          <w:ilvl w:val="12"/>
          <w:numId w:val="0"/>
        </w:numPr>
        <w:tabs>
          <w:tab w:val="left" w:pos="1260"/>
        </w:tabs>
        <w:spacing w:after="60"/>
        <w:rPr>
          <w:color w:val="000000"/>
          <w:sz w:val="22"/>
          <w:szCs w:val="22"/>
        </w:rPr>
      </w:pPr>
      <w:r>
        <w:rPr>
          <w:color w:val="000000"/>
          <w:sz w:val="22"/>
          <w:szCs w:val="22"/>
        </w:rPr>
        <w:t>10</w:t>
      </w:r>
      <w:r w:rsidR="008E370B" w:rsidRPr="003D1DA4">
        <w:rPr>
          <w:color w:val="000000"/>
          <w:sz w:val="22"/>
          <w:szCs w:val="22"/>
        </w:rPr>
        <w:t>/</w:t>
      </w:r>
      <w:r w:rsidR="00D22B7E">
        <w:rPr>
          <w:color w:val="000000"/>
          <w:sz w:val="22"/>
          <w:szCs w:val="22"/>
        </w:rPr>
        <w:t>1</w:t>
      </w:r>
      <w:r>
        <w:rPr>
          <w:color w:val="000000"/>
          <w:sz w:val="22"/>
          <w:szCs w:val="22"/>
        </w:rPr>
        <w:t>8</w:t>
      </w:r>
      <w:r w:rsidR="008E370B" w:rsidRPr="003D1DA4">
        <w:rPr>
          <w:color w:val="000000"/>
          <w:sz w:val="22"/>
          <w:szCs w:val="22"/>
        </w:rPr>
        <w:t>/</w:t>
      </w:r>
      <w:r w:rsidR="00BC3FFB" w:rsidRPr="003D1DA4">
        <w:rPr>
          <w:color w:val="000000"/>
          <w:sz w:val="22"/>
          <w:szCs w:val="22"/>
        </w:rPr>
        <w:t>20</w:t>
      </w:r>
      <w:r w:rsidR="008E370B" w:rsidRPr="003D1DA4">
        <w:rPr>
          <w:color w:val="000000"/>
          <w:sz w:val="22"/>
          <w:szCs w:val="22"/>
        </w:rPr>
        <w:t>1</w:t>
      </w:r>
      <w:r w:rsidR="00D22B7E">
        <w:rPr>
          <w:color w:val="000000"/>
          <w:sz w:val="22"/>
          <w:szCs w:val="22"/>
        </w:rPr>
        <w:t>3</w:t>
      </w:r>
      <w:r w:rsidR="001C4E37" w:rsidRPr="003D1DA4">
        <w:rPr>
          <w:color w:val="000000"/>
          <w:sz w:val="22"/>
          <w:szCs w:val="22"/>
        </w:rPr>
        <w:tab/>
        <w:t xml:space="preserve">Received the application for a </w:t>
      </w:r>
      <w:r w:rsidR="00D22B7E">
        <w:rPr>
          <w:color w:val="000000"/>
          <w:sz w:val="22"/>
          <w:szCs w:val="22"/>
        </w:rPr>
        <w:t>test burn program</w:t>
      </w:r>
    </w:p>
    <w:p w:rsidR="00AF491D" w:rsidRPr="003D1DA4" w:rsidRDefault="00160267" w:rsidP="00A342E0">
      <w:pPr>
        <w:pStyle w:val="BodyText"/>
        <w:numPr>
          <w:ilvl w:val="12"/>
          <w:numId w:val="0"/>
        </w:numPr>
        <w:tabs>
          <w:tab w:val="left" w:pos="1260"/>
        </w:tabs>
        <w:spacing w:after="0"/>
        <w:rPr>
          <w:color w:val="000000"/>
          <w:sz w:val="22"/>
          <w:szCs w:val="22"/>
        </w:rPr>
      </w:pPr>
      <w:r>
        <w:rPr>
          <w:color w:val="000000"/>
          <w:sz w:val="22"/>
          <w:szCs w:val="22"/>
        </w:rPr>
        <w:t>11</w:t>
      </w:r>
      <w:r w:rsidR="00AF491D" w:rsidRPr="003D1DA4">
        <w:rPr>
          <w:color w:val="000000"/>
          <w:sz w:val="22"/>
          <w:szCs w:val="22"/>
        </w:rPr>
        <w:t>/</w:t>
      </w:r>
      <w:r>
        <w:rPr>
          <w:color w:val="000000"/>
          <w:sz w:val="22"/>
          <w:szCs w:val="22"/>
        </w:rPr>
        <w:t>01</w:t>
      </w:r>
      <w:r w:rsidR="00AF491D" w:rsidRPr="003D1DA4">
        <w:rPr>
          <w:color w:val="000000"/>
          <w:sz w:val="22"/>
          <w:szCs w:val="22"/>
        </w:rPr>
        <w:t>/201</w:t>
      </w:r>
      <w:r w:rsidR="00D22B7E">
        <w:rPr>
          <w:color w:val="000000"/>
          <w:sz w:val="22"/>
          <w:szCs w:val="22"/>
        </w:rPr>
        <w:t>3</w:t>
      </w:r>
      <w:r w:rsidR="00AF491D" w:rsidRPr="003D1DA4">
        <w:rPr>
          <w:color w:val="000000"/>
          <w:sz w:val="22"/>
          <w:szCs w:val="22"/>
        </w:rPr>
        <w:tab/>
        <w:t>Distributed Intent to Issue Air Permit package.</w:t>
      </w:r>
    </w:p>
    <w:p w:rsidR="00EE76BA" w:rsidRPr="009E51EE" w:rsidRDefault="00D51D78" w:rsidP="00A342E0">
      <w:pPr>
        <w:pStyle w:val="ListParagraph"/>
        <w:numPr>
          <w:ilvl w:val="0"/>
          <w:numId w:val="11"/>
        </w:numPr>
        <w:spacing w:before="120" w:after="120"/>
        <w:ind w:left="540" w:hanging="540"/>
        <w:contextualSpacing w:val="0"/>
        <w:rPr>
          <w:b/>
          <w:color w:val="000000"/>
          <w:sz w:val="22"/>
          <w:szCs w:val="22"/>
        </w:rPr>
      </w:pPr>
      <w:r w:rsidRPr="009E51EE">
        <w:rPr>
          <w:b/>
          <w:color w:val="000000"/>
          <w:sz w:val="22"/>
          <w:szCs w:val="22"/>
        </w:rPr>
        <w:t>PSD Applicability</w:t>
      </w:r>
    </w:p>
    <w:p w:rsidR="00EE76BA" w:rsidRPr="003D1DA4" w:rsidRDefault="00EE76BA">
      <w:pPr>
        <w:pStyle w:val="ListParagraph"/>
        <w:numPr>
          <w:ilvl w:val="1"/>
          <w:numId w:val="11"/>
        </w:numPr>
        <w:spacing w:after="120"/>
        <w:ind w:left="540" w:hanging="540"/>
        <w:rPr>
          <w:color w:val="000000"/>
          <w:sz w:val="22"/>
          <w:szCs w:val="22"/>
        </w:rPr>
      </w:pPr>
      <w:r w:rsidRPr="009E51EE">
        <w:rPr>
          <w:b/>
          <w:color w:val="000000"/>
          <w:sz w:val="22"/>
          <w:szCs w:val="22"/>
        </w:rPr>
        <w:t>G</w:t>
      </w:r>
      <w:r w:rsidR="008E145E" w:rsidRPr="009E51EE">
        <w:rPr>
          <w:b/>
          <w:color w:val="000000"/>
          <w:sz w:val="22"/>
          <w:szCs w:val="22"/>
        </w:rPr>
        <w:t>eneral PSD Applicability</w:t>
      </w:r>
    </w:p>
    <w:p w:rsidR="008E145E" w:rsidRPr="003D1DA4" w:rsidRDefault="008E145E" w:rsidP="008E145E">
      <w:pPr>
        <w:widowControl w:val="0"/>
        <w:spacing w:after="120"/>
        <w:rPr>
          <w:color w:val="000000"/>
          <w:sz w:val="22"/>
          <w:szCs w:val="22"/>
        </w:rPr>
      </w:pPr>
      <w:r w:rsidRPr="003D1DA4">
        <w:rPr>
          <w:color w:val="000000"/>
          <w:sz w:val="22"/>
          <w:szCs w:val="22"/>
        </w:rPr>
        <w:t xml:space="preserve">The Department regulates major stationary sources in accordance with Florida’s PSD program pursuant to Rule 62-212.400(PSD), F.A.C.  PSD preconstruction review is required in areas that are currently in attainment with the state and federal ambient air quality standards (AAQS) or areas designated as “unclassifiable” for these regulated pollutants.  </w:t>
      </w:r>
    </w:p>
    <w:p w:rsidR="008E145E" w:rsidRDefault="008E145E" w:rsidP="008E145E">
      <w:pPr>
        <w:widowControl w:val="0"/>
        <w:spacing w:after="120"/>
        <w:rPr>
          <w:rFonts w:eastAsia="Calibri"/>
          <w:sz w:val="22"/>
          <w:szCs w:val="22"/>
        </w:rPr>
      </w:pPr>
      <w:r w:rsidRPr="003D1DA4">
        <w:rPr>
          <w:color w:val="000000"/>
          <w:sz w:val="22"/>
          <w:szCs w:val="22"/>
        </w:rPr>
        <w:t xml:space="preserve">Commonly addressed PSD pollutants in the power industry include: </w:t>
      </w:r>
      <w:r w:rsidR="00E5292E">
        <w:rPr>
          <w:color w:val="000000"/>
          <w:sz w:val="22"/>
          <w:szCs w:val="22"/>
        </w:rPr>
        <w:t>carbon monoxide (</w:t>
      </w:r>
      <w:r w:rsidRPr="003D1DA4">
        <w:rPr>
          <w:color w:val="000000"/>
          <w:sz w:val="22"/>
          <w:szCs w:val="22"/>
        </w:rPr>
        <w:t>CO</w:t>
      </w:r>
      <w:r w:rsidR="00E5292E">
        <w:rPr>
          <w:color w:val="000000"/>
          <w:sz w:val="22"/>
          <w:szCs w:val="22"/>
        </w:rPr>
        <w:t>)</w:t>
      </w:r>
      <w:r w:rsidRPr="003D1DA4">
        <w:rPr>
          <w:color w:val="000000"/>
          <w:sz w:val="22"/>
          <w:szCs w:val="22"/>
        </w:rPr>
        <w:t>, SO</w:t>
      </w:r>
      <w:r w:rsidRPr="00655DE5">
        <w:rPr>
          <w:color w:val="000000"/>
          <w:sz w:val="22"/>
          <w:szCs w:val="22"/>
          <w:vertAlign w:val="subscript"/>
        </w:rPr>
        <w:t>2</w:t>
      </w:r>
      <w:r w:rsidRPr="003D1DA4">
        <w:rPr>
          <w:color w:val="000000"/>
          <w:sz w:val="22"/>
          <w:szCs w:val="22"/>
        </w:rPr>
        <w:t>, NO</w:t>
      </w:r>
      <w:r w:rsidRPr="00655DE5">
        <w:rPr>
          <w:color w:val="000000"/>
          <w:sz w:val="22"/>
          <w:szCs w:val="22"/>
          <w:vertAlign w:val="subscript"/>
        </w:rPr>
        <w:t>X</w:t>
      </w:r>
      <w:r w:rsidRPr="003D1DA4">
        <w:rPr>
          <w:color w:val="000000"/>
          <w:sz w:val="22"/>
          <w:szCs w:val="22"/>
        </w:rPr>
        <w:t>, PM, PM smaller than 10 micrometers (µm) (PM</w:t>
      </w:r>
      <w:r w:rsidRPr="003D23F0">
        <w:rPr>
          <w:color w:val="000000"/>
          <w:sz w:val="22"/>
          <w:szCs w:val="22"/>
          <w:vertAlign w:val="subscript"/>
        </w:rPr>
        <w:t>10</w:t>
      </w:r>
      <w:r w:rsidRPr="003D1DA4">
        <w:rPr>
          <w:color w:val="000000"/>
          <w:sz w:val="22"/>
          <w:szCs w:val="22"/>
        </w:rPr>
        <w:t>), PM smaller than 2.5 µm (PM</w:t>
      </w:r>
      <w:r w:rsidRPr="003D23F0">
        <w:rPr>
          <w:color w:val="000000"/>
          <w:sz w:val="22"/>
          <w:szCs w:val="22"/>
          <w:vertAlign w:val="subscript"/>
        </w:rPr>
        <w:t>2.5</w:t>
      </w:r>
      <w:r w:rsidRPr="003D1DA4">
        <w:rPr>
          <w:color w:val="000000"/>
          <w:sz w:val="22"/>
          <w:szCs w:val="22"/>
        </w:rPr>
        <w:t>), volatile organic compo</w:t>
      </w:r>
      <w:r>
        <w:rPr>
          <w:rFonts w:eastAsia="Calibri"/>
          <w:sz w:val="22"/>
          <w:szCs w:val="22"/>
        </w:rPr>
        <w:t>unds (VOC), sulfuric acid mist (SAM), lead (Pb),</w:t>
      </w:r>
      <w:r w:rsidRPr="005C0768">
        <w:rPr>
          <w:rFonts w:eastAsia="Calibri"/>
          <w:sz w:val="22"/>
          <w:szCs w:val="22"/>
        </w:rPr>
        <w:t xml:space="preserve"> </w:t>
      </w:r>
      <w:r>
        <w:rPr>
          <w:rFonts w:eastAsia="Calibri"/>
          <w:sz w:val="22"/>
          <w:szCs w:val="22"/>
        </w:rPr>
        <w:t>f</w:t>
      </w:r>
      <w:r w:rsidRPr="005C0768">
        <w:rPr>
          <w:rFonts w:eastAsia="Calibri"/>
          <w:sz w:val="22"/>
          <w:szCs w:val="22"/>
        </w:rPr>
        <w:t>luorides</w:t>
      </w:r>
      <w:r>
        <w:rPr>
          <w:rFonts w:eastAsia="Calibri"/>
          <w:sz w:val="22"/>
          <w:szCs w:val="22"/>
        </w:rPr>
        <w:t xml:space="preserve"> (F),</w:t>
      </w:r>
      <w:r w:rsidRPr="005C0768">
        <w:rPr>
          <w:rFonts w:eastAsia="Calibri"/>
          <w:sz w:val="22"/>
          <w:szCs w:val="22"/>
        </w:rPr>
        <w:t xml:space="preserve"> </w:t>
      </w:r>
      <w:r>
        <w:rPr>
          <w:rFonts w:eastAsia="Calibri"/>
          <w:sz w:val="22"/>
          <w:szCs w:val="22"/>
        </w:rPr>
        <w:t xml:space="preserve">and </w:t>
      </w:r>
      <w:r w:rsidR="00E5292E">
        <w:rPr>
          <w:rFonts w:eastAsia="Calibri"/>
          <w:sz w:val="22"/>
          <w:szCs w:val="22"/>
        </w:rPr>
        <w:t>Hg</w:t>
      </w:r>
      <w:r>
        <w:rPr>
          <w:rFonts w:eastAsia="Calibri"/>
          <w:sz w:val="22"/>
          <w:szCs w:val="22"/>
        </w:rPr>
        <w:t xml:space="preserve">.  </w:t>
      </w:r>
    </w:p>
    <w:p w:rsidR="008E145E" w:rsidRPr="004E4744" w:rsidRDefault="008E145E" w:rsidP="008E145E">
      <w:pPr>
        <w:widowControl w:val="0"/>
        <w:spacing w:after="120"/>
        <w:rPr>
          <w:rFonts w:eastAsia="Calibri"/>
          <w:sz w:val="22"/>
          <w:szCs w:val="22"/>
        </w:rPr>
      </w:pPr>
      <w:r>
        <w:rPr>
          <w:rFonts w:eastAsia="Calibri"/>
          <w:sz w:val="22"/>
          <w:szCs w:val="22"/>
        </w:rPr>
        <w:t>Additional PSD pollutants that are more common to certain other industries include:</w:t>
      </w:r>
      <w:r w:rsidRPr="005C0768">
        <w:rPr>
          <w:rFonts w:eastAsia="Calibri"/>
          <w:sz w:val="22"/>
          <w:szCs w:val="22"/>
        </w:rPr>
        <w:t xml:space="preserve"> </w:t>
      </w:r>
      <w:r>
        <w:rPr>
          <w:rFonts w:eastAsia="Calibri"/>
          <w:sz w:val="22"/>
          <w:szCs w:val="22"/>
        </w:rPr>
        <w:t>hydrogen sulfide (</w:t>
      </w:r>
      <w:r w:rsidRPr="005C0768">
        <w:rPr>
          <w:rFonts w:eastAsia="Calibri"/>
          <w:sz w:val="22"/>
          <w:szCs w:val="22"/>
        </w:rPr>
        <w:t>H</w:t>
      </w:r>
      <w:r w:rsidRPr="007B78BD">
        <w:rPr>
          <w:rFonts w:eastAsia="Calibri"/>
          <w:sz w:val="22"/>
          <w:szCs w:val="22"/>
          <w:vertAlign w:val="subscript"/>
        </w:rPr>
        <w:t>2</w:t>
      </w:r>
      <w:r w:rsidRPr="005C0768">
        <w:rPr>
          <w:rFonts w:eastAsia="Calibri"/>
          <w:sz w:val="22"/>
          <w:szCs w:val="22"/>
        </w:rPr>
        <w:t>S</w:t>
      </w:r>
      <w:r>
        <w:rPr>
          <w:rFonts w:eastAsia="Calibri"/>
          <w:sz w:val="22"/>
          <w:szCs w:val="22"/>
        </w:rPr>
        <w:t xml:space="preserve">), </w:t>
      </w:r>
      <w:r w:rsidRPr="005C0768">
        <w:rPr>
          <w:rFonts w:eastAsia="Calibri"/>
          <w:sz w:val="22"/>
          <w:szCs w:val="22"/>
        </w:rPr>
        <w:t>TRS including H</w:t>
      </w:r>
      <w:r w:rsidRPr="007B78BD">
        <w:rPr>
          <w:rFonts w:eastAsia="Calibri"/>
          <w:sz w:val="22"/>
          <w:szCs w:val="22"/>
          <w:vertAlign w:val="subscript"/>
        </w:rPr>
        <w:t>2</w:t>
      </w:r>
      <w:r w:rsidRPr="005C0768">
        <w:rPr>
          <w:rFonts w:eastAsia="Calibri"/>
          <w:sz w:val="22"/>
          <w:szCs w:val="22"/>
        </w:rPr>
        <w:t>S</w:t>
      </w:r>
      <w:r>
        <w:rPr>
          <w:rFonts w:eastAsia="Calibri"/>
          <w:sz w:val="22"/>
          <w:szCs w:val="22"/>
        </w:rPr>
        <w:t>, reduced sulfur compounds (RSC) including H</w:t>
      </w:r>
      <w:r w:rsidRPr="00F81267">
        <w:rPr>
          <w:rFonts w:eastAsia="Calibri"/>
          <w:sz w:val="22"/>
          <w:szCs w:val="22"/>
          <w:vertAlign w:val="subscript"/>
        </w:rPr>
        <w:t>2</w:t>
      </w:r>
      <w:r>
        <w:rPr>
          <w:rFonts w:eastAsia="Calibri"/>
          <w:sz w:val="22"/>
          <w:szCs w:val="22"/>
        </w:rPr>
        <w:t>S, municipal waste combustor (</w:t>
      </w:r>
      <w:r w:rsidRPr="005C0768">
        <w:rPr>
          <w:rFonts w:eastAsia="Calibri"/>
          <w:sz w:val="22"/>
          <w:szCs w:val="22"/>
        </w:rPr>
        <w:t>MWC</w:t>
      </w:r>
      <w:r>
        <w:rPr>
          <w:rFonts w:eastAsia="Calibri"/>
          <w:sz w:val="22"/>
          <w:szCs w:val="22"/>
        </w:rPr>
        <w:t>)</w:t>
      </w:r>
      <w:r w:rsidRPr="005C0768">
        <w:rPr>
          <w:rFonts w:eastAsia="Calibri"/>
          <w:sz w:val="22"/>
          <w:szCs w:val="22"/>
        </w:rPr>
        <w:t xml:space="preserve"> organics measured as total tetra- through octa-chlorinated dibenzo-p-dioxins and dibenzofurans (</w:t>
      </w:r>
      <w:r>
        <w:rPr>
          <w:rFonts w:eastAsia="Calibri"/>
          <w:sz w:val="22"/>
          <w:szCs w:val="22"/>
        </w:rPr>
        <w:t xml:space="preserve">dioxin/furan), </w:t>
      </w:r>
      <w:r w:rsidRPr="005C0768">
        <w:rPr>
          <w:rFonts w:eastAsia="Calibri"/>
          <w:sz w:val="22"/>
          <w:szCs w:val="22"/>
        </w:rPr>
        <w:t xml:space="preserve">MWC metals measured as PM; MWC acid gases </w:t>
      </w:r>
      <w:r w:rsidRPr="004E4744">
        <w:rPr>
          <w:rFonts w:eastAsia="Calibri"/>
          <w:sz w:val="22"/>
          <w:szCs w:val="22"/>
        </w:rPr>
        <w:t>measured as SO</w:t>
      </w:r>
      <w:r w:rsidRPr="004E4744">
        <w:rPr>
          <w:rFonts w:eastAsia="Calibri"/>
          <w:sz w:val="22"/>
          <w:szCs w:val="22"/>
          <w:vertAlign w:val="subscript"/>
        </w:rPr>
        <w:t>2</w:t>
      </w:r>
      <w:r w:rsidRPr="004E4744">
        <w:rPr>
          <w:rFonts w:eastAsia="Calibri"/>
          <w:sz w:val="22"/>
          <w:szCs w:val="22"/>
        </w:rPr>
        <w:t xml:space="preserve"> and HCl, </w:t>
      </w:r>
      <w:r>
        <w:rPr>
          <w:rFonts w:eastAsia="Calibri"/>
          <w:sz w:val="22"/>
          <w:szCs w:val="22"/>
        </w:rPr>
        <w:t>and municipal solid waste (</w:t>
      </w:r>
      <w:r w:rsidRPr="004E4744">
        <w:rPr>
          <w:sz w:val="22"/>
          <w:szCs w:val="22"/>
        </w:rPr>
        <w:t>MSW</w:t>
      </w:r>
      <w:r>
        <w:rPr>
          <w:sz w:val="22"/>
          <w:szCs w:val="22"/>
        </w:rPr>
        <w:t>)</w:t>
      </w:r>
      <w:r w:rsidRPr="004E4744">
        <w:rPr>
          <w:sz w:val="22"/>
          <w:szCs w:val="22"/>
        </w:rPr>
        <w:t xml:space="preserve"> landfill emissions as non-</w:t>
      </w:r>
      <w:r>
        <w:rPr>
          <w:sz w:val="22"/>
          <w:szCs w:val="22"/>
        </w:rPr>
        <w:t>methane organic compounds (NMOC)</w:t>
      </w:r>
      <w:r w:rsidRPr="004E4744">
        <w:rPr>
          <w:rFonts w:eastAsia="Calibri"/>
          <w:sz w:val="22"/>
          <w:szCs w:val="22"/>
        </w:rPr>
        <w:t xml:space="preserve">.  </w:t>
      </w:r>
    </w:p>
    <w:p w:rsidR="008E145E" w:rsidRDefault="008E145E" w:rsidP="008E145E">
      <w:pPr>
        <w:pStyle w:val="Default"/>
        <w:spacing w:after="60"/>
        <w:rPr>
          <w:sz w:val="22"/>
          <w:szCs w:val="22"/>
        </w:rPr>
      </w:pPr>
      <w:r w:rsidRPr="005C0768">
        <w:rPr>
          <w:rFonts w:eastAsia="Calibri"/>
          <w:sz w:val="22"/>
          <w:szCs w:val="22"/>
        </w:rPr>
        <w:t>As defined in Rule 62-210.200(</w:t>
      </w:r>
      <w:r>
        <w:rPr>
          <w:rFonts w:eastAsia="Calibri"/>
          <w:sz w:val="22"/>
          <w:szCs w:val="22"/>
        </w:rPr>
        <w:t>Definitions)</w:t>
      </w:r>
      <w:r w:rsidRPr="005C0768">
        <w:rPr>
          <w:rFonts w:eastAsia="Calibri"/>
          <w:sz w:val="22"/>
          <w:szCs w:val="22"/>
        </w:rPr>
        <w:t xml:space="preserve">, F.A.C., </w:t>
      </w:r>
      <w:r>
        <w:rPr>
          <w:sz w:val="22"/>
          <w:szCs w:val="22"/>
        </w:rPr>
        <w:t>a stationary source is a “major stationary source” (major PSD source) if it emits or has the potential to emit (PTE):</w:t>
      </w:r>
    </w:p>
    <w:p w:rsidR="008E145E" w:rsidRPr="00D94522" w:rsidRDefault="008E145E" w:rsidP="00D165BD">
      <w:pPr>
        <w:pStyle w:val="Default"/>
        <w:numPr>
          <w:ilvl w:val="0"/>
          <w:numId w:val="7"/>
        </w:numPr>
        <w:spacing w:after="60"/>
        <w:rPr>
          <w:rFonts w:eastAsia="Calibri"/>
          <w:sz w:val="22"/>
          <w:szCs w:val="22"/>
        </w:rPr>
      </w:pPr>
      <w:r>
        <w:rPr>
          <w:sz w:val="22"/>
          <w:szCs w:val="22"/>
        </w:rPr>
        <w:t xml:space="preserve">250 tons per year (tons/year) or more of any PSD pollutant; </w:t>
      </w:r>
      <w:r w:rsidRPr="00AF28AC">
        <w:rPr>
          <w:sz w:val="22"/>
          <w:szCs w:val="22"/>
          <w:u w:val="single"/>
        </w:rPr>
        <w:t>or</w:t>
      </w:r>
      <w:r>
        <w:rPr>
          <w:sz w:val="22"/>
          <w:szCs w:val="22"/>
        </w:rPr>
        <w:t xml:space="preserve"> </w:t>
      </w:r>
    </w:p>
    <w:p w:rsidR="008E145E" w:rsidRDefault="008E145E" w:rsidP="00D165BD">
      <w:pPr>
        <w:pStyle w:val="Default"/>
        <w:numPr>
          <w:ilvl w:val="0"/>
          <w:numId w:val="7"/>
        </w:numPr>
        <w:spacing w:after="120"/>
        <w:rPr>
          <w:rFonts w:eastAsia="Calibri"/>
          <w:sz w:val="22"/>
          <w:szCs w:val="22"/>
        </w:rPr>
      </w:pPr>
      <w:r>
        <w:rPr>
          <w:sz w:val="22"/>
          <w:szCs w:val="22"/>
        </w:rPr>
        <w:t xml:space="preserve">100 tons/year or more of any PSD pollutant </w:t>
      </w:r>
      <w:r w:rsidRPr="00AF28AC">
        <w:rPr>
          <w:sz w:val="22"/>
          <w:szCs w:val="22"/>
          <w:u w:val="single"/>
        </w:rPr>
        <w:t>and</w:t>
      </w:r>
      <w:r>
        <w:rPr>
          <w:sz w:val="22"/>
          <w:szCs w:val="22"/>
        </w:rPr>
        <w:t xml:space="preserve"> the facility belongs to one of the 28 listed PSD major facility categories.  </w:t>
      </w:r>
    </w:p>
    <w:p w:rsidR="008E145E" w:rsidRDefault="008E145E" w:rsidP="008E145E">
      <w:pPr>
        <w:widowControl w:val="0"/>
        <w:spacing w:after="120"/>
        <w:rPr>
          <w:rFonts w:eastAsia="Calibri"/>
          <w:sz w:val="22"/>
          <w:szCs w:val="22"/>
        </w:rPr>
      </w:pPr>
      <w:r w:rsidRPr="00B81C9A">
        <w:rPr>
          <w:rFonts w:eastAsia="Calibri"/>
          <w:sz w:val="22"/>
          <w:szCs w:val="22"/>
        </w:rPr>
        <w:t xml:space="preserve">The list given in the citation includes the category of “fossil fuel-fired steam electric plants of more than </w:t>
      </w:r>
      <w:r w:rsidRPr="00B81C9A">
        <w:rPr>
          <w:rFonts w:eastAsia="Calibri"/>
          <w:sz w:val="22"/>
          <w:szCs w:val="22"/>
        </w:rPr>
        <w:lastRenderedPageBreak/>
        <w:t xml:space="preserve">250 million British thermal units per hour heat input”.  The given category applies to the </w:t>
      </w:r>
      <w:r w:rsidR="00CB5CD3">
        <w:rPr>
          <w:rFonts w:eastAsia="Calibri"/>
          <w:sz w:val="22"/>
          <w:szCs w:val="22"/>
        </w:rPr>
        <w:t xml:space="preserve">Lansing Smith </w:t>
      </w:r>
      <w:r>
        <w:rPr>
          <w:rFonts w:eastAsia="Calibri"/>
          <w:sz w:val="22"/>
          <w:szCs w:val="22"/>
        </w:rPr>
        <w:t xml:space="preserve">Generating </w:t>
      </w:r>
      <w:r w:rsidR="00CB5CD3">
        <w:rPr>
          <w:rFonts w:eastAsia="Calibri"/>
          <w:sz w:val="22"/>
          <w:szCs w:val="22"/>
        </w:rPr>
        <w:t>Plant</w:t>
      </w:r>
      <w:r w:rsidRPr="00B81C9A">
        <w:rPr>
          <w:rFonts w:eastAsia="Calibri"/>
          <w:sz w:val="22"/>
          <w:szCs w:val="22"/>
        </w:rPr>
        <w:t xml:space="preserve">.  </w:t>
      </w:r>
      <w:r>
        <w:rPr>
          <w:rFonts w:eastAsia="Calibri"/>
          <w:sz w:val="22"/>
          <w:szCs w:val="22"/>
        </w:rPr>
        <w:t xml:space="preserve">Lansing Smith </w:t>
      </w:r>
      <w:r w:rsidR="00E81AAC">
        <w:rPr>
          <w:rFonts w:eastAsia="Calibri"/>
          <w:sz w:val="22"/>
          <w:szCs w:val="22"/>
        </w:rPr>
        <w:t xml:space="preserve">Generating Plant </w:t>
      </w:r>
      <w:r w:rsidRPr="00B81C9A">
        <w:rPr>
          <w:rFonts w:eastAsia="Calibri"/>
          <w:sz w:val="22"/>
          <w:szCs w:val="22"/>
        </w:rPr>
        <w:t xml:space="preserve">is a major stationary source based on actual emissions of and potential to emit </w:t>
      </w:r>
      <w:r>
        <w:rPr>
          <w:rFonts w:eastAsia="Calibri"/>
          <w:sz w:val="22"/>
          <w:szCs w:val="22"/>
        </w:rPr>
        <w:t>100</w:t>
      </w:r>
      <w:r w:rsidRPr="00B81C9A">
        <w:rPr>
          <w:rFonts w:eastAsia="Calibri"/>
          <w:sz w:val="22"/>
          <w:szCs w:val="22"/>
        </w:rPr>
        <w:t xml:space="preserve"> tons/year or more of several individual PSD pollutants.</w:t>
      </w:r>
      <w:r w:rsidRPr="005C0768">
        <w:rPr>
          <w:rFonts w:eastAsia="Calibri"/>
          <w:sz w:val="22"/>
          <w:szCs w:val="22"/>
        </w:rPr>
        <w:t xml:space="preserve">  </w:t>
      </w:r>
    </w:p>
    <w:p w:rsidR="0046188C" w:rsidRDefault="008E145E" w:rsidP="00E81AAC">
      <w:pPr>
        <w:widowControl w:val="0"/>
        <w:spacing w:after="120"/>
        <w:rPr>
          <w:rFonts w:eastAsia="Calibri"/>
          <w:sz w:val="22"/>
          <w:szCs w:val="22"/>
        </w:rPr>
      </w:pPr>
      <w:r w:rsidRPr="005C0768">
        <w:rPr>
          <w:rFonts w:eastAsia="Calibri"/>
          <w:sz w:val="22"/>
          <w:szCs w:val="22"/>
        </w:rPr>
        <w:t>For major stationary sources</w:t>
      </w:r>
      <w:r>
        <w:rPr>
          <w:rFonts w:eastAsia="Calibri"/>
          <w:sz w:val="22"/>
          <w:szCs w:val="22"/>
        </w:rPr>
        <w:t xml:space="preserve"> such as </w:t>
      </w:r>
      <w:r w:rsidR="00E81AAC">
        <w:rPr>
          <w:rFonts w:eastAsia="Calibri"/>
          <w:sz w:val="22"/>
          <w:szCs w:val="22"/>
        </w:rPr>
        <w:t xml:space="preserve">the </w:t>
      </w:r>
      <w:r>
        <w:rPr>
          <w:rFonts w:eastAsia="Calibri"/>
          <w:sz w:val="22"/>
          <w:szCs w:val="22"/>
        </w:rPr>
        <w:t>Lansing Smith</w:t>
      </w:r>
      <w:r w:rsidR="00E81AAC">
        <w:rPr>
          <w:rFonts w:eastAsia="Calibri"/>
          <w:sz w:val="22"/>
          <w:szCs w:val="22"/>
        </w:rPr>
        <w:t xml:space="preserve"> Plant</w:t>
      </w:r>
      <w:r w:rsidRPr="005C0768">
        <w:rPr>
          <w:rFonts w:eastAsia="Calibri"/>
          <w:sz w:val="22"/>
          <w:szCs w:val="22"/>
        </w:rPr>
        <w:t xml:space="preserve">, PSD applicability </w:t>
      </w:r>
      <w:r>
        <w:rPr>
          <w:rFonts w:eastAsia="Calibri"/>
          <w:sz w:val="22"/>
          <w:szCs w:val="22"/>
        </w:rPr>
        <w:t xml:space="preserve">for modification projects </w:t>
      </w:r>
      <w:r w:rsidRPr="005C0768">
        <w:rPr>
          <w:rFonts w:eastAsia="Calibri"/>
          <w:sz w:val="22"/>
          <w:szCs w:val="22"/>
        </w:rPr>
        <w:t>is based on thresholds known as the significant emission rates (SER</w:t>
      </w:r>
      <w:r>
        <w:rPr>
          <w:rFonts w:eastAsia="Calibri"/>
          <w:sz w:val="22"/>
          <w:szCs w:val="22"/>
        </w:rPr>
        <w:t xml:space="preserve">) as defined in Rule 62-210.200 (Definitions), </w:t>
      </w:r>
      <w:r w:rsidRPr="005C0768">
        <w:rPr>
          <w:rFonts w:eastAsia="Calibri"/>
          <w:sz w:val="22"/>
          <w:szCs w:val="22"/>
        </w:rPr>
        <w:t xml:space="preserve">F.A.C.  </w:t>
      </w:r>
      <w:r>
        <w:rPr>
          <w:rFonts w:eastAsia="Calibri"/>
          <w:sz w:val="22"/>
          <w:szCs w:val="22"/>
        </w:rPr>
        <w:t>Any “net e</w:t>
      </w:r>
      <w:r w:rsidRPr="005C0768">
        <w:rPr>
          <w:rFonts w:eastAsia="Calibri"/>
          <w:sz w:val="22"/>
          <w:szCs w:val="22"/>
        </w:rPr>
        <w:t xml:space="preserve">missions </w:t>
      </w:r>
      <w:r>
        <w:rPr>
          <w:rFonts w:eastAsia="Calibri"/>
          <w:sz w:val="22"/>
          <w:szCs w:val="22"/>
        </w:rPr>
        <w:t>increase” as defined in Rule 62-210.200</w:t>
      </w:r>
      <w:r w:rsidR="00F21AAE">
        <w:rPr>
          <w:rFonts w:eastAsia="Calibri"/>
          <w:sz w:val="22"/>
          <w:szCs w:val="22"/>
        </w:rPr>
        <w:t xml:space="preserve"> </w:t>
      </w:r>
      <w:r>
        <w:rPr>
          <w:rFonts w:eastAsia="Calibri"/>
          <w:sz w:val="22"/>
          <w:szCs w:val="22"/>
        </w:rPr>
        <w:t xml:space="preserve">(Definitions), F.A.C. </w:t>
      </w:r>
      <w:r w:rsidRPr="005C0768">
        <w:rPr>
          <w:rFonts w:eastAsia="Calibri"/>
          <w:sz w:val="22"/>
          <w:szCs w:val="22"/>
        </w:rPr>
        <w:t xml:space="preserve">of </w:t>
      </w:r>
      <w:r>
        <w:rPr>
          <w:rFonts w:eastAsia="Calibri"/>
          <w:sz w:val="22"/>
          <w:szCs w:val="22"/>
        </w:rPr>
        <w:t xml:space="preserve">a </w:t>
      </w:r>
      <w:r w:rsidRPr="005C0768">
        <w:rPr>
          <w:rFonts w:eastAsia="Calibri"/>
          <w:sz w:val="22"/>
          <w:szCs w:val="22"/>
        </w:rPr>
        <w:t>PSD pollutant from the project that equal</w:t>
      </w:r>
      <w:r>
        <w:rPr>
          <w:rFonts w:eastAsia="Calibri"/>
          <w:sz w:val="22"/>
          <w:szCs w:val="22"/>
        </w:rPr>
        <w:t>s</w:t>
      </w:r>
      <w:r w:rsidRPr="005C0768">
        <w:rPr>
          <w:rFonts w:eastAsia="Calibri"/>
          <w:sz w:val="22"/>
          <w:szCs w:val="22"/>
        </w:rPr>
        <w:t xml:space="preserve"> or exceed</w:t>
      </w:r>
      <w:r>
        <w:rPr>
          <w:rFonts w:eastAsia="Calibri"/>
          <w:sz w:val="22"/>
          <w:szCs w:val="22"/>
        </w:rPr>
        <w:t>s</w:t>
      </w:r>
      <w:r w:rsidRPr="005C0768">
        <w:rPr>
          <w:rFonts w:eastAsia="Calibri"/>
          <w:sz w:val="22"/>
          <w:szCs w:val="22"/>
        </w:rPr>
        <w:t xml:space="preserve"> the</w:t>
      </w:r>
      <w:r>
        <w:rPr>
          <w:rFonts w:eastAsia="Calibri"/>
          <w:sz w:val="22"/>
          <w:szCs w:val="22"/>
        </w:rPr>
        <w:t xml:space="preserve"> respective </w:t>
      </w:r>
      <w:r w:rsidRPr="005C0768">
        <w:rPr>
          <w:rFonts w:eastAsia="Calibri"/>
          <w:sz w:val="22"/>
          <w:szCs w:val="22"/>
        </w:rPr>
        <w:t xml:space="preserve">SER </w:t>
      </w:r>
      <w:r>
        <w:rPr>
          <w:rFonts w:eastAsia="Calibri"/>
          <w:sz w:val="22"/>
          <w:szCs w:val="22"/>
        </w:rPr>
        <w:t xml:space="preserve">is </w:t>
      </w:r>
      <w:r w:rsidRPr="005C0768">
        <w:rPr>
          <w:rFonts w:eastAsia="Calibri"/>
          <w:sz w:val="22"/>
          <w:szCs w:val="22"/>
        </w:rPr>
        <w:t xml:space="preserve">considered “significant”.  </w:t>
      </w:r>
    </w:p>
    <w:p w:rsidR="008E145E" w:rsidRPr="005C0768" w:rsidRDefault="008E145E" w:rsidP="008E145E">
      <w:pPr>
        <w:widowControl w:val="0"/>
        <w:spacing w:after="120"/>
        <w:rPr>
          <w:rFonts w:eastAsia="Calibri"/>
          <w:sz w:val="22"/>
          <w:szCs w:val="22"/>
        </w:rPr>
      </w:pPr>
      <w:r w:rsidRPr="005C0768">
        <w:rPr>
          <w:rFonts w:eastAsia="Calibri"/>
          <w:sz w:val="22"/>
          <w:szCs w:val="22"/>
        </w:rPr>
        <w:t>SER also means any emissions rate or any net emissions increase of a PSD pollutant associated with a major stationary source or major modification which would construct within 10 k</w:t>
      </w:r>
      <w:r>
        <w:rPr>
          <w:rFonts w:eastAsia="Calibri"/>
          <w:sz w:val="22"/>
          <w:szCs w:val="22"/>
        </w:rPr>
        <w:t>m</w:t>
      </w:r>
      <w:r w:rsidRPr="005C0768">
        <w:rPr>
          <w:rFonts w:eastAsia="Calibri"/>
          <w:sz w:val="22"/>
          <w:szCs w:val="22"/>
        </w:rPr>
        <w:t xml:space="preserve"> of a Class I area and have an impact on such area equal to or greater than 1 gram per cubic meter, 24-hour average.  </w:t>
      </w:r>
    </w:p>
    <w:p w:rsidR="008E145E" w:rsidRDefault="008E145E" w:rsidP="008E145E">
      <w:pPr>
        <w:widowControl w:val="0"/>
        <w:spacing w:after="120"/>
        <w:rPr>
          <w:rFonts w:eastAsia="Calibri"/>
          <w:sz w:val="22"/>
          <w:szCs w:val="22"/>
        </w:rPr>
      </w:pPr>
      <w:r w:rsidRPr="005C0768">
        <w:rPr>
          <w:rFonts w:eastAsia="Calibri"/>
          <w:sz w:val="22"/>
          <w:szCs w:val="22"/>
        </w:rPr>
        <w:t xml:space="preserve">Although a facility may be “major” </w:t>
      </w:r>
      <w:r>
        <w:rPr>
          <w:rFonts w:eastAsia="Calibri"/>
          <w:sz w:val="22"/>
          <w:szCs w:val="22"/>
        </w:rPr>
        <w:t xml:space="preserve">(i.e. emits or has the potential to emit 100 or 250 tons/year as applicable) </w:t>
      </w:r>
      <w:r w:rsidRPr="005C0768">
        <w:rPr>
          <w:rFonts w:eastAsia="Calibri"/>
          <w:sz w:val="22"/>
          <w:szCs w:val="22"/>
        </w:rPr>
        <w:t xml:space="preserve">for only one PSD pollutant, a project must include </w:t>
      </w:r>
      <w:r>
        <w:rPr>
          <w:rFonts w:eastAsia="Calibri"/>
          <w:sz w:val="22"/>
          <w:szCs w:val="22"/>
        </w:rPr>
        <w:t>Best Available Control Technology (</w:t>
      </w:r>
      <w:r w:rsidRPr="005C0768">
        <w:rPr>
          <w:rFonts w:eastAsia="Calibri"/>
          <w:sz w:val="22"/>
          <w:szCs w:val="22"/>
        </w:rPr>
        <w:t>BACT</w:t>
      </w:r>
      <w:r>
        <w:rPr>
          <w:rFonts w:eastAsia="Calibri"/>
          <w:sz w:val="22"/>
          <w:szCs w:val="22"/>
        </w:rPr>
        <w:t>)</w:t>
      </w:r>
      <w:r w:rsidRPr="005C0768">
        <w:rPr>
          <w:rFonts w:eastAsia="Calibri"/>
          <w:sz w:val="22"/>
          <w:szCs w:val="22"/>
        </w:rPr>
        <w:t xml:space="preserve"> for any PSD pollutant </w:t>
      </w:r>
      <w:r>
        <w:rPr>
          <w:rFonts w:eastAsia="Calibri"/>
          <w:sz w:val="22"/>
          <w:szCs w:val="22"/>
        </w:rPr>
        <w:t xml:space="preserve">increase in </w:t>
      </w:r>
      <w:r w:rsidRPr="005C0768">
        <w:rPr>
          <w:rFonts w:eastAsia="Calibri"/>
          <w:sz w:val="22"/>
          <w:szCs w:val="22"/>
        </w:rPr>
        <w:t xml:space="preserve">that </w:t>
      </w:r>
      <w:r>
        <w:rPr>
          <w:rFonts w:eastAsia="Calibri"/>
          <w:sz w:val="22"/>
          <w:szCs w:val="22"/>
        </w:rPr>
        <w:t xml:space="preserve">equals or </w:t>
      </w:r>
      <w:r w:rsidRPr="005C0768">
        <w:rPr>
          <w:rFonts w:eastAsia="Calibri"/>
          <w:sz w:val="22"/>
          <w:szCs w:val="22"/>
        </w:rPr>
        <w:t xml:space="preserve">exceeds the corresponding </w:t>
      </w:r>
      <w:r>
        <w:rPr>
          <w:rFonts w:eastAsia="Calibri"/>
          <w:sz w:val="22"/>
          <w:szCs w:val="22"/>
        </w:rPr>
        <w:t>significant emission rate</w:t>
      </w:r>
      <w:r w:rsidR="00A01222">
        <w:rPr>
          <w:rFonts w:eastAsia="Calibri"/>
          <w:sz w:val="22"/>
          <w:szCs w:val="22"/>
        </w:rPr>
        <w:t xml:space="preserve"> (SER)</w:t>
      </w:r>
      <w:r>
        <w:rPr>
          <w:rFonts w:eastAsia="Calibri"/>
          <w:sz w:val="22"/>
          <w:szCs w:val="22"/>
        </w:rPr>
        <w:t xml:space="preserve"> </w:t>
      </w:r>
      <w:r w:rsidRPr="005C0768">
        <w:rPr>
          <w:rFonts w:eastAsia="Calibri"/>
          <w:sz w:val="22"/>
          <w:szCs w:val="22"/>
        </w:rPr>
        <w:t xml:space="preserve">given in </w:t>
      </w:r>
      <w:fldSimple w:instr=" REF _Ref359500170 \h  \* MERGEFORMAT ">
        <w:r w:rsidR="002D419E" w:rsidRPr="002D419E">
          <w:rPr>
            <w:color w:val="000000" w:themeColor="text1"/>
            <w:sz w:val="22"/>
            <w:szCs w:val="22"/>
          </w:rPr>
          <w:t xml:space="preserve">Table </w:t>
        </w:r>
        <w:r w:rsidR="002D419E" w:rsidRPr="002D419E">
          <w:rPr>
            <w:noProof/>
            <w:color w:val="000000" w:themeColor="text1"/>
            <w:sz w:val="22"/>
            <w:szCs w:val="22"/>
          </w:rPr>
          <w:t>2</w:t>
        </w:r>
      </w:fldSimple>
      <w:r w:rsidRPr="005C0768">
        <w:rPr>
          <w:rFonts w:eastAsia="Calibri"/>
          <w:sz w:val="22"/>
          <w:szCs w:val="22"/>
        </w:rPr>
        <w:t>.</w:t>
      </w:r>
    </w:p>
    <w:p w:rsidR="008E145E" w:rsidRPr="00A01222" w:rsidRDefault="00A01222" w:rsidP="00A01222">
      <w:pPr>
        <w:pStyle w:val="Caption"/>
        <w:spacing w:after="120"/>
        <w:jc w:val="center"/>
        <w:rPr>
          <w:b w:val="0"/>
          <w:caps/>
          <w:color w:val="000000"/>
          <w:sz w:val="22"/>
          <w:szCs w:val="22"/>
        </w:rPr>
      </w:pPr>
      <w:bookmarkStart w:id="3" w:name="_Ref359500170"/>
      <w:r w:rsidRPr="00A01222">
        <w:rPr>
          <w:caps/>
          <w:color w:val="000000" w:themeColor="text1"/>
          <w:sz w:val="22"/>
          <w:szCs w:val="22"/>
        </w:rPr>
        <w:t xml:space="preserve">Table </w:t>
      </w:r>
      <w:r w:rsidR="00614D11" w:rsidRPr="00A01222">
        <w:rPr>
          <w:caps/>
          <w:color w:val="000000" w:themeColor="text1"/>
          <w:sz w:val="22"/>
          <w:szCs w:val="22"/>
        </w:rPr>
        <w:fldChar w:fldCharType="begin"/>
      </w:r>
      <w:r w:rsidRPr="00A01222">
        <w:rPr>
          <w:caps/>
          <w:color w:val="000000" w:themeColor="text1"/>
          <w:sz w:val="22"/>
          <w:szCs w:val="22"/>
        </w:rPr>
        <w:instrText xml:space="preserve"> SEQ Table \* ARABIC </w:instrText>
      </w:r>
      <w:r w:rsidR="00614D11" w:rsidRPr="00A01222">
        <w:rPr>
          <w:caps/>
          <w:color w:val="000000" w:themeColor="text1"/>
          <w:sz w:val="22"/>
          <w:szCs w:val="22"/>
        </w:rPr>
        <w:fldChar w:fldCharType="separate"/>
      </w:r>
      <w:r w:rsidR="002D419E">
        <w:rPr>
          <w:caps/>
          <w:noProof/>
          <w:color w:val="000000" w:themeColor="text1"/>
          <w:sz w:val="22"/>
          <w:szCs w:val="22"/>
        </w:rPr>
        <w:t>2</w:t>
      </w:r>
      <w:r w:rsidR="00614D11" w:rsidRPr="00A01222">
        <w:rPr>
          <w:caps/>
          <w:color w:val="000000" w:themeColor="text1"/>
          <w:sz w:val="22"/>
          <w:szCs w:val="22"/>
        </w:rPr>
        <w:fldChar w:fldCharType="end"/>
      </w:r>
      <w:bookmarkEnd w:id="3"/>
      <w:r w:rsidR="008E145E" w:rsidRPr="00A01222">
        <w:rPr>
          <w:caps/>
          <w:color w:val="000000" w:themeColor="text1"/>
          <w:sz w:val="22"/>
          <w:szCs w:val="22"/>
        </w:rPr>
        <w:t>.</w:t>
      </w:r>
      <w:r w:rsidR="008E145E" w:rsidRPr="00A01222">
        <w:rPr>
          <w:caps/>
          <w:color w:val="000000"/>
          <w:sz w:val="22"/>
          <w:szCs w:val="22"/>
        </w:rPr>
        <w:t xml:space="preserve">  List of </w:t>
      </w:r>
      <w:r>
        <w:rPr>
          <w:caps/>
          <w:color w:val="000000"/>
          <w:sz w:val="22"/>
          <w:szCs w:val="22"/>
        </w:rPr>
        <w:t>SER</w:t>
      </w:r>
      <w:r w:rsidR="008E145E" w:rsidRPr="00A01222">
        <w:rPr>
          <w:caps/>
          <w:color w:val="000000"/>
          <w:sz w:val="22"/>
          <w:szCs w:val="22"/>
        </w:rPr>
        <w:t xml:space="preserve"> by PSD-Pollutant Relevant to the Facility</w:t>
      </w:r>
      <w:r>
        <w:rPr>
          <w:caps/>
          <w:color w:val="000000"/>
          <w:sz w:val="22"/>
          <w:szCs w:val="22"/>
        </w:rPr>
        <w:t>.</w:t>
      </w:r>
      <w:r w:rsidR="008E145E" w:rsidRPr="00A01222">
        <w:rPr>
          <w:caps/>
          <w:color w:val="000000"/>
          <w:sz w:val="22"/>
          <w:szCs w:val="22"/>
        </w:rPr>
        <w:t xml:space="preserve"> </w:t>
      </w:r>
      <w:r w:rsidR="008E145E" w:rsidRPr="00A01222">
        <w:rPr>
          <w:caps/>
          <w:color w:val="000000"/>
          <w:sz w:val="22"/>
          <w:szCs w:val="22"/>
          <w:vertAlign w:val="superscript"/>
        </w:rPr>
        <w:t>2</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880"/>
        <w:gridCol w:w="1800"/>
        <w:gridCol w:w="3240"/>
        <w:gridCol w:w="1800"/>
      </w:tblGrid>
      <w:tr w:rsidR="008E145E" w:rsidRPr="005C0768" w:rsidTr="00A01222">
        <w:trPr>
          <w:trHeight w:val="290"/>
        </w:trPr>
        <w:tc>
          <w:tcPr>
            <w:tcW w:w="2880" w:type="dxa"/>
            <w:shd w:val="clear" w:color="auto" w:fill="C6D9F1" w:themeFill="text2" w:themeFillTint="33"/>
            <w:hideMark/>
          </w:tcPr>
          <w:p w:rsidR="008E145E" w:rsidRPr="005339C3" w:rsidRDefault="008E145E" w:rsidP="008E145E">
            <w:pPr>
              <w:autoSpaceDE w:val="0"/>
              <w:autoSpaceDN w:val="0"/>
              <w:adjustRightInd w:val="0"/>
              <w:spacing w:before="20" w:after="20"/>
              <w:rPr>
                <w:b/>
                <w:color w:val="000000"/>
              </w:rPr>
            </w:pPr>
            <w:r w:rsidRPr="005339C3">
              <w:rPr>
                <w:b/>
                <w:color w:val="000000"/>
              </w:rPr>
              <w:t xml:space="preserve">Pollutant </w:t>
            </w:r>
          </w:p>
        </w:tc>
        <w:tc>
          <w:tcPr>
            <w:tcW w:w="1800" w:type="dxa"/>
            <w:shd w:val="clear" w:color="auto" w:fill="C6D9F1" w:themeFill="text2" w:themeFillTint="33"/>
            <w:hideMark/>
          </w:tcPr>
          <w:p w:rsidR="008E145E" w:rsidRPr="005339C3" w:rsidRDefault="008E145E" w:rsidP="008E145E">
            <w:pPr>
              <w:autoSpaceDE w:val="0"/>
              <w:autoSpaceDN w:val="0"/>
              <w:adjustRightInd w:val="0"/>
              <w:spacing w:before="20" w:after="20"/>
              <w:jc w:val="center"/>
              <w:rPr>
                <w:b/>
                <w:color w:val="000000"/>
              </w:rPr>
            </w:pPr>
            <w:r w:rsidRPr="005339C3">
              <w:rPr>
                <w:b/>
                <w:color w:val="000000"/>
              </w:rPr>
              <w:t>SER (</w:t>
            </w:r>
            <w:r>
              <w:rPr>
                <w:rFonts w:eastAsia="Calibri"/>
                <w:b/>
              </w:rPr>
              <w:t>tons/year)</w:t>
            </w:r>
          </w:p>
        </w:tc>
        <w:tc>
          <w:tcPr>
            <w:tcW w:w="3240" w:type="dxa"/>
            <w:shd w:val="clear" w:color="auto" w:fill="C6D9F1" w:themeFill="text2" w:themeFillTint="33"/>
            <w:hideMark/>
          </w:tcPr>
          <w:p w:rsidR="008E145E" w:rsidRPr="005339C3" w:rsidRDefault="008E145E" w:rsidP="008E145E">
            <w:pPr>
              <w:autoSpaceDE w:val="0"/>
              <w:autoSpaceDN w:val="0"/>
              <w:adjustRightInd w:val="0"/>
              <w:spacing w:before="20" w:after="20"/>
              <w:rPr>
                <w:b/>
                <w:color w:val="000000"/>
              </w:rPr>
            </w:pPr>
            <w:r w:rsidRPr="005339C3">
              <w:rPr>
                <w:b/>
                <w:color w:val="000000"/>
              </w:rPr>
              <w:t xml:space="preserve">Pollutant </w:t>
            </w:r>
          </w:p>
        </w:tc>
        <w:tc>
          <w:tcPr>
            <w:tcW w:w="1800" w:type="dxa"/>
            <w:shd w:val="clear" w:color="auto" w:fill="C6D9F1" w:themeFill="text2" w:themeFillTint="33"/>
            <w:hideMark/>
          </w:tcPr>
          <w:p w:rsidR="008E145E" w:rsidRPr="005339C3" w:rsidRDefault="008E145E" w:rsidP="008E145E">
            <w:pPr>
              <w:autoSpaceDE w:val="0"/>
              <w:autoSpaceDN w:val="0"/>
              <w:adjustRightInd w:val="0"/>
              <w:spacing w:before="20" w:after="20"/>
              <w:jc w:val="center"/>
              <w:rPr>
                <w:b/>
                <w:color w:val="000000"/>
              </w:rPr>
            </w:pPr>
            <w:r w:rsidRPr="005339C3">
              <w:rPr>
                <w:b/>
                <w:color w:val="000000"/>
              </w:rPr>
              <w:t>SER (</w:t>
            </w:r>
            <w:r>
              <w:rPr>
                <w:b/>
                <w:color w:val="000000"/>
              </w:rPr>
              <w:t>tons/year)</w:t>
            </w:r>
          </w:p>
        </w:tc>
      </w:tr>
      <w:tr w:rsidR="008E145E" w:rsidRPr="005C0768" w:rsidTr="008E145E">
        <w:trPr>
          <w:trHeight w:val="264"/>
        </w:trPr>
        <w:tc>
          <w:tcPr>
            <w:tcW w:w="2880" w:type="dxa"/>
            <w:hideMark/>
          </w:tcPr>
          <w:p w:rsidR="008E145E" w:rsidRPr="005339C3" w:rsidRDefault="008E145E" w:rsidP="008E145E">
            <w:pPr>
              <w:autoSpaceDE w:val="0"/>
              <w:autoSpaceDN w:val="0"/>
              <w:adjustRightInd w:val="0"/>
              <w:spacing w:before="20" w:after="20"/>
              <w:rPr>
                <w:color w:val="000000"/>
              </w:rPr>
            </w:pPr>
            <w:r w:rsidRPr="005339C3">
              <w:rPr>
                <w:color w:val="000000"/>
              </w:rPr>
              <w:t>PM</w:t>
            </w:r>
          </w:p>
        </w:tc>
        <w:tc>
          <w:tcPr>
            <w:tcW w:w="1800" w:type="dxa"/>
            <w:hideMark/>
          </w:tcPr>
          <w:p w:rsidR="008E145E" w:rsidRPr="005339C3" w:rsidRDefault="008E145E" w:rsidP="008E145E">
            <w:pPr>
              <w:autoSpaceDE w:val="0"/>
              <w:autoSpaceDN w:val="0"/>
              <w:adjustRightInd w:val="0"/>
              <w:spacing w:before="20" w:after="20"/>
              <w:jc w:val="center"/>
              <w:rPr>
                <w:color w:val="000000"/>
              </w:rPr>
            </w:pPr>
            <w:r w:rsidRPr="005339C3">
              <w:rPr>
                <w:color w:val="000000"/>
              </w:rPr>
              <w:t>25</w:t>
            </w:r>
          </w:p>
        </w:tc>
        <w:tc>
          <w:tcPr>
            <w:tcW w:w="3240" w:type="dxa"/>
            <w:hideMark/>
          </w:tcPr>
          <w:p w:rsidR="008E145E" w:rsidRPr="00BA3C8A" w:rsidRDefault="008E145E" w:rsidP="008E145E">
            <w:pPr>
              <w:autoSpaceDE w:val="0"/>
              <w:autoSpaceDN w:val="0"/>
              <w:adjustRightInd w:val="0"/>
              <w:spacing w:before="20" w:after="20"/>
              <w:rPr>
                <w:color w:val="000000"/>
              </w:rPr>
            </w:pPr>
            <w:r w:rsidRPr="005339C3">
              <w:rPr>
                <w:color w:val="000000"/>
              </w:rPr>
              <w:t>PM</w:t>
            </w:r>
            <w:r w:rsidRPr="00BA3C8A">
              <w:rPr>
                <w:color w:val="000000"/>
                <w:vertAlign w:val="subscript"/>
              </w:rPr>
              <w:t>10</w:t>
            </w:r>
          </w:p>
        </w:tc>
        <w:tc>
          <w:tcPr>
            <w:tcW w:w="1800" w:type="dxa"/>
            <w:hideMark/>
          </w:tcPr>
          <w:p w:rsidR="008E145E" w:rsidRPr="005339C3" w:rsidRDefault="008E145E" w:rsidP="008E145E">
            <w:pPr>
              <w:autoSpaceDE w:val="0"/>
              <w:autoSpaceDN w:val="0"/>
              <w:adjustRightInd w:val="0"/>
              <w:spacing w:before="20" w:after="20"/>
              <w:jc w:val="center"/>
              <w:rPr>
                <w:color w:val="000000"/>
              </w:rPr>
            </w:pPr>
            <w:r w:rsidRPr="005339C3">
              <w:rPr>
                <w:color w:val="000000"/>
              </w:rPr>
              <w:t>15</w:t>
            </w:r>
          </w:p>
        </w:tc>
      </w:tr>
      <w:tr w:rsidR="008E145E" w:rsidRPr="00CD3805" w:rsidTr="008E145E">
        <w:trPr>
          <w:trHeight w:val="264"/>
        </w:trPr>
        <w:tc>
          <w:tcPr>
            <w:tcW w:w="2880" w:type="dxa"/>
            <w:hideMark/>
          </w:tcPr>
          <w:p w:rsidR="008E145E" w:rsidRPr="00CD3805" w:rsidRDefault="008E145E" w:rsidP="008E145E">
            <w:pPr>
              <w:autoSpaceDE w:val="0"/>
              <w:autoSpaceDN w:val="0"/>
              <w:adjustRightInd w:val="0"/>
              <w:spacing w:before="20" w:after="20"/>
              <w:rPr>
                <w:color w:val="000000"/>
              </w:rPr>
            </w:pPr>
            <w:r w:rsidRPr="00CD3805">
              <w:rPr>
                <w:color w:val="000000"/>
              </w:rPr>
              <w:t>PM</w:t>
            </w:r>
            <w:r w:rsidRPr="00CD3805">
              <w:rPr>
                <w:color w:val="000000"/>
                <w:vertAlign w:val="subscript"/>
              </w:rPr>
              <w:t>2.5</w:t>
            </w:r>
          </w:p>
        </w:tc>
        <w:tc>
          <w:tcPr>
            <w:tcW w:w="1800" w:type="dxa"/>
            <w:hideMark/>
          </w:tcPr>
          <w:p w:rsidR="008E145E" w:rsidRPr="00CD3805" w:rsidRDefault="008E145E" w:rsidP="008E145E">
            <w:pPr>
              <w:autoSpaceDE w:val="0"/>
              <w:autoSpaceDN w:val="0"/>
              <w:adjustRightInd w:val="0"/>
              <w:spacing w:before="20" w:after="20"/>
              <w:jc w:val="center"/>
              <w:rPr>
                <w:color w:val="000000"/>
              </w:rPr>
            </w:pPr>
            <w:r w:rsidRPr="00CD3805">
              <w:rPr>
                <w:color w:val="000000"/>
              </w:rPr>
              <w:t>10</w:t>
            </w:r>
          </w:p>
        </w:tc>
        <w:tc>
          <w:tcPr>
            <w:tcW w:w="3240" w:type="dxa"/>
            <w:hideMark/>
          </w:tcPr>
          <w:p w:rsidR="008E145E" w:rsidRPr="00CD3805" w:rsidRDefault="008E145E" w:rsidP="008E145E">
            <w:pPr>
              <w:autoSpaceDE w:val="0"/>
              <w:autoSpaceDN w:val="0"/>
              <w:adjustRightInd w:val="0"/>
              <w:spacing w:before="20" w:after="20"/>
              <w:rPr>
                <w:color w:val="000000"/>
              </w:rPr>
            </w:pPr>
            <w:r w:rsidRPr="00CD3805">
              <w:rPr>
                <w:color w:val="000000"/>
              </w:rPr>
              <w:t>PM</w:t>
            </w:r>
            <w:r w:rsidRPr="00CD3805">
              <w:rPr>
                <w:color w:val="000000"/>
                <w:vertAlign w:val="subscript"/>
              </w:rPr>
              <w:t xml:space="preserve">2.5 </w:t>
            </w:r>
            <w:r w:rsidRPr="00CD3805">
              <w:rPr>
                <w:color w:val="000000"/>
              </w:rPr>
              <w:t>(NO</w:t>
            </w:r>
            <w:r w:rsidRPr="00CD3805">
              <w:rPr>
                <w:color w:val="000000"/>
                <w:vertAlign w:val="subscript"/>
              </w:rPr>
              <w:t>X</w:t>
            </w:r>
            <w:r w:rsidRPr="00CD3805">
              <w:rPr>
                <w:color w:val="000000"/>
              </w:rPr>
              <w:t>)</w:t>
            </w:r>
            <w:r w:rsidRPr="005339C3">
              <w:rPr>
                <w:color w:val="000000"/>
              </w:rPr>
              <w:t xml:space="preserve"> </w:t>
            </w:r>
            <w:r>
              <w:rPr>
                <w:b/>
                <w:color w:val="000000"/>
                <w:vertAlign w:val="superscript"/>
              </w:rPr>
              <w:t>1</w:t>
            </w:r>
          </w:p>
        </w:tc>
        <w:tc>
          <w:tcPr>
            <w:tcW w:w="1800" w:type="dxa"/>
            <w:hideMark/>
          </w:tcPr>
          <w:p w:rsidR="008E145E" w:rsidRPr="00CD3805" w:rsidRDefault="008E145E" w:rsidP="008E145E">
            <w:pPr>
              <w:autoSpaceDE w:val="0"/>
              <w:autoSpaceDN w:val="0"/>
              <w:adjustRightInd w:val="0"/>
              <w:spacing w:before="20" w:after="20"/>
              <w:jc w:val="center"/>
              <w:rPr>
                <w:color w:val="000000"/>
              </w:rPr>
            </w:pPr>
            <w:r w:rsidRPr="00CD3805">
              <w:rPr>
                <w:color w:val="000000"/>
              </w:rPr>
              <w:t>40</w:t>
            </w:r>
          </w:p>
        </w:tc>
      </w:tr>
      <w:tr w:rsidR="008E145E" w:rsidRPr="005C0768" w:rsidTr="008E145E">
        <w:trPr>
          <w:trHeight w:val="264"/>
        </w:trPr>
        <w:tc>
          <w:tcPr>
            <w:tcW w:w="2880" w:type="dxa"/>
            <w:hideMark/>
          </w:tcPr>
          <w:p w:rsidR="008E145E" w:rsidRPr="00CD3805" w:rsidRDefault="008E145E" w:rsidP="008E145E">
            <w:pPr>
              <w:pStyle w:val="Default"/>
              <w:spacing w:before="20" w:after="20"/>
              <w:rPr>
                <w:sz w:val="20"/>
                <w:szCs w:val="20"/>
              </w:rPr>
            </w:pPr>
            <w:r w:rsidRPr="00CD3805">
              <w:rPr>
                <w:sz w:val="20"/>
                <w:szCs w:val="20"/>
              </w:rPr>
              <w:t>PM</w:t>
            </w:r>
            <w:r w:rsidRPr="00CD3805">
              <w:rPr>
                <w:sz w:val="20"/>
                <w:szCs w:val="20"/>
                <w:vertAlign w:val="subscript"/>
              </w:rPr>
              <w:t>2.5</w:t>
            </w:r>
            <w:r w:rsidRPr="00CD3805">
              <w:rPr>
                <w:sz w:val="20"/>
                <w:szCs w:val="20"/>
              </w:rPr>
              <w:t xml:space="preserve"> (SO</w:t>
            </w:r>
            <w:r w:rsidRPr="00CD3805">
              <w:rPr>
                <w:sz w:val="20"/>
                <w:szCs w:val="20"/>
                <w:vertAlign w:val="subscript"/>
              </w:rPr>
              <w:t>2</w:t>
            </w:r>
            <w:r w:rsidRPr="00CD3805">
              <w:rPr>
                <w:sz w:val="20"/>
                <w:szCs w:val="20"/>
              </w:rPr>
              <w:t>)</w:t>
            </w:r>
            <w:r w:rsidRPr="00767982">
              <w:rPr>
                <w:sz w:val="20"/>
                <w:szCs w:val="20"/>
              </w:rPr>
              <w:t xml:space="preserve"> </w:t>
            </w:r>
            <w:r w:rsidRPr="00767982">
              <w:rPr>
                <w:b/>
                <w:sz w:val="20"/>
                <w:szCs w:val="20"/>
                <w:vertAlign w:val="superscript"/>
              </w:rPr>
              <w:t>1</w:t>
            </w:r>
          </w:p>
        </w:tc>
        <w:tc>
          <w:tcPr>
            <w:tcW w:w="1800" w:type="dxa"/>
            <w:hideMark/>
          </w:tcPr>
          <w:p w:rsidR="008E145E" w:rsidRPr="00CD3805" w:rsidRDefault="008E145E" w:rsidP="008E145E">
            <w:pPr>
              <w:pStyle w:val="Default"/>
              <w:spacing w:before="20" w:after="20"/>
              <w:jc w:val="center"/>
              <w:rPr>
                <w:sz w:val="20"/>
                <w:szCs w:val="20"/>
              </w:rPr>
            </w:pPr>
            <w:r w:rsidRPr="00CD3805">
              <w:rPr>
                <w:sz w:val="20"/>
                <w:szCs w:val="20"/>
              </w:rPr>
              <w:t>40</w:t>
            </w:r>
          </w:p>
        </w:tc>
        <w:tc>
          <w:tcPr>
            <w:tcW w:w="3240" w:type="dxa"/>
            <w:hideMark/>
          </w:tcPr>
          <w:p w:rsidR="008E145E" w:rsidRPr="005339C3" w:rsidRDefault="008E145E" w:rsidP="008E145E">
            <w:pPr>
              <w:autoSpaceDE w:val="0"/>
              <w:autoSpaceDN w:val="0"/>
              <w:adjustRightInd w:val="0"/>
              <w:spacing w:before="20" w:after="20"/>
              <w:rPr>
                <w:color w:val="000000"/>
              </w:rPr>
            </w:pPr>
            <w:r w:rsidRPr="005339C3">
              <w:rPr>
                <w:color w:val="000000"/>
              </w:rPr>
              <w:t xml:space="preserve">CO </w:t>
            </w:r>
          </w:p>
        </w:tc>
        <w:tc>
          <w:tcPr>
            <w:tcW w:w="1800" w:type="dxa"/>
            <w:hideMark/>
          </w:tcPr>
          <w:p w:rsidR="008E145E" w:rsidRPr="005339C3" w:rsidRDefault="008E145E" w:rsidP="008E145E">
            <w:pPr>
              <w:autoSpaceDE w:val="0"/>
              <w:autoSpaceDN w:val="0"/>
              <w:adjustRightInd w:val="0"/>
              <w:spacing w:before="20" w:after="20"/>
              <w:jc w:val="center"/>
              <w:rPr>
                <w:color w:val="000000"/>
              </w:rPr>
            </w:pPr>
            <w:r w:rsidRPr="005339C3">
              <w:rPr>
                <w:color w:val="000000"/>
              </w:rPr>
              <w:t>100</w:t>
            </w:r>
          </w:p>
        </w:tc>
      </w:tr>
      <w:tr w:rsidR="008E145E" w:rsidRPr="005C0768" w:rsidTr="008E145E">
        <w:trPr>
          <w:trHeight w:val="264"/>
        </w:trPr>
        <w:tc>
          <w:tcPr>
            <w:tcW w:w="2880" w:type="dxa"/>
            <w:hideMark/>
          </w:tcPr>
          <w:p w:rsidR="008E145E" w:rsidRPr="005339C3" w:rsidRDefault="008E145E" w:rsidP="008E145E">
            <w:pPr>
              <w:autoSpaceDE w:val="0"/>
              <w:autoSpaceDN w:val="0"/>
              <w:adjustRightInd w:val="0"/>
              <w:spacing w:before="20" w:after="20"/>
              <w:rPr>
                <w:color w:val="000000"/>
              </w:rPr>
            </w:pPr>
            <w:r w:rsidRPr="005339C3">
              <w:rPr>
                <w:color w:val="000000"/>
              </w:rPr>
              <w:t>SO</w:t>
            </w:r>
            <w:r w:rsidRPr="005339C3">
              <w:rPr>
                <w:color w:val="000000"/>
                <w:vertAlign w:val="subscript"/>
              </w:rPr>
              <w:t>2</w:t>
            </w:r>
          </w:p>
        </w:tc>
        <w:tc>
          <w:tcPr>
            <w:tcW w:w="1800" w:type="dxa"/>
            <w:hideMark/>
          </w:tcPr>
          <w:p w:rsidR="008E145E" w:rsidRPr="005339C3" w:rsidRDefault="008E145E" w:rsidP="008E145E">
            <w:pPr>
              <w:autoSpaceDE w:val="0"/>
              <w:autoSpaceDN w:val="0"/>
              <w:adjustRightInd w:val="0"/>
              <w:spacing w:before="20" w:after="20"/>
              <w:jc w:val="center"/>
              <w:rPr>
                <w:color w:val="000000"/>
              </w:rPr>
            </w:pPr>
          </w:p>
        </w:tc>
        <w:tc>
          <w:tcPr>
            <w:tcW w:w="3240" w:type="dxa"/>
            <w:hideMark/>
          </w:tcPr>
          <w:p w:rsidR="008E145E" w:rsidRPr="005339C3" w:rsidRDefault="008E145E" w:rsidP="008E145E">
            <w:pPr>
              <w:autoSpaceDE w:val="0"/>
              <w:autoSpaceDN w:val="0"/>
              <w:adjustRightInd w:val="0"/>
              <w:spacing w:before="20" w:after="20"/>
              <w:rPr>
                <w:color w:val="000000"/>
              </w:rPr>
            </w:pPr>
            <w:r w:rsidRPr="005339C3">
              <w:rPr>
                <w:color w:val="000000"/>
              </w:rPr>
              <w:t>NO</w:t>
            </w:r>
            <w:r w:rsidRPr="005339C3">
              <w:rPr>
                <w:color w:val="000000"/>
                <w:vertAlign w:val="subscript"/>
              </w:rPr>
              <w:t>X</w:t>
            </w:r>
          </w:p>
        </w:tc>
        <w:tc>
          <w:tcPr>
            <w:tcW w:w="1800" w:type="dxa"/>
            <w:hideMark/>
          </w:tcPr>
          <w:p w:rsidR="008E145E" w:rsidRDefault="008E145E" w:rsidP="008E145E">
            <w:pPr>
              <w:autoSpaceDE w:val="0"/>
              <w:autoSpaceDN w:val="0"/>
              <w:adjustRightInd w:val="0"/>
              <w:spacing w:before="20" w:after="20"/>
              <w:jc w:val="center"/>
              <w:rPr>
                <w:color w:val="000000"/>
              </w:rPr>
            </w:pPr>
            <w:r>
              <w:rPr>
                <w:color w:val="000000"/>
              </w:rPr>
              <w:t>40</w:t>
            </w:r>
          </w:p>
        </w:tc>
      </w:tr>
      <w:tr w:rsidR="008E145E" w:rsidRPr="005C0768" w:rsidTr="008E145E">
        <w:trPr>
          <w:trHeight w:val="264"/>
        </w:trPr>
        <w:tc>
          <w:tcPr>
            <w:tcW w:w="2880" w:type="dxa"/>
            <w:hideMark/>
          </w:tcPr>
          <w:p w:rsidR="008E145E" w:rsidRPr="005339C3" w:rsidRDefault="008E145E" w:rsidP="008E145E">
            <w:pPr>
              <w:autoSpaceDE w:val="0"/>
              <w:autoSpaceDN w:val="0"/>
              <w:adjustRightInd w:val="0"/>
              <w:spacing w:before="20" w:after="20"/>
              <w:rPr>
                <w:color w:val="000000"/>
              </w:rPr>
            </w:pPr>
            <w:r w:rsidRPr="005339C3">
              <w:rPr>
                <w:color w:val="000000"/>
              </w:rPr>
              <w:t>Ozone (NO</w:t>
            </w:r>
            <w:r w:rsidRPr="005339C3">
              <w:rPr>
                <w:color w:val="000000"/>
                <w:vertAlign w:val="subscript"/>
              </w:rPr>
              <w:t>X</w:t>
            </w:r>
            <w:r w:rsidRPr="005339C3">
              <w:rPr>
                <w:color w:val="000000"/>
              </w:rPr>
              <w:t xml:space="preserve">) </w:t>
            </w:r>
            <w:r>
              <w:rPr>
                <w:b/>
                <w:color w:val="000000"/>
                <w:vertAlign w:val="superscript"/>
              </w:rPr>
              <w:t>1</w:t>
            </w:r>
          </w:p>
        </w:tc>
        <w:tc>
          <w:tcPr>
            <w:tcW w:w="1800" w:type="dxa"/>
            <w:hideMark/>
          </w:tcPr>
          <w:p w:rsidR="008E145E" w:rsidRPr="005339C3" w:rsidRDefault="008E145E" w:rsidP="008E145E">
            <w:pPr>
              <w:autoSpaceDE w:val="0"/>
              <w:autoSpaceDN w:val="0"/>
              <w:adjustRightInd w:val="0"/>
              <w:spacing w:before="20" w:after="20"/>
              <w:jc w:val="center"/>
              <w:rPr>
                <w:color w:val="000000"/>
              </w:rPr>
            </w:pPr>
            <w:r w:rsidRPr="005339C3">
              <w:rPr>
                <w:color w:val="000000"/>
              </w:rPr>
              <w:t>40</w:t>
            </w:r>
          </w:p>
        </w:tc>
        <w:tc>
          <w:tcPr>
            <w:tcW w:w="3240" w:type="dxa"/>
            <w:hideMark/>
          </w:tcPr>
          <w:p w:rsidR="008E145E" w:rsidRPr="005339C3" w:rsidRDefault="008E145E" w:rsidP="008E145E">
            <w:pPr>
              <w:autoSpaceDE w:val="0"/>
              <w:autoSpaceDN w:val="0"/>
              <w:adjustRightInd w:val="0"/>
              <w:spacing w:before="20" w:after="20"/>
              <w:rPr>
                <w:color w:val="000000"/>
              </w:rPr>
            </w:pPr>
            <w:r w:rsidRPr="005339C3">
              <w:rPr>
                <w:color w:val="000000"/>
              </w:rPr>
              <w:t xml:space="preserve">Ozone (VOC) </w:t>
            </w:r>
            <w:r>
              <w:rPr>
                <w:b/>
                <w:color w:val="000000"/>
                <w:vertAlign w:val="superscript"/>
              </w:rPr>
              <w:t>1</w:t>
            </w:r>
          </w:p>
        </w:tc>
        <w:tc>
          <w:tcPr>
            <w:tcW w:w="1800" w:type="dxa"/>
            <w:hideMark/>
          </w:tcPr>
          <w:p w:rsidR="008E145E" w:rsidRPr="005339C3" w:rsidRDefault="008E145E" w:rsidP="008E145E">
            <w:pPr>
              <w:autoSpaceDE w:val="0"/>
              <w:autoSpaceDN w:val="0"/>
              <w:adjustRightInd w:val="0"/>
              <w:spacing w:before="20" w:after="20"/>
              <w:jc w:val="center"/>
              <w:rPr>
                <w:color w:val="000000"/>
              </w:rPr>
            </w:pPr>
            <w:r>
              <w:rPr>
                <w:color w:val="000000"/>
              </w:rPr>
              <w:t>40</w:t>
            </w:r>
          </w:p>
        </w:tc>
      </w:tr>
      <w:tr w:rsidR="008E145E" w:rsidRPr="005C0768" w:rsidTr="008E145E">
        <w:trPr>
          <w:trHeight w:val="264"/>
        </w:trPr>
        <w:tc>
          <w:tcPr>
            <w:tcW w:w="2880" w:type="dxa"/>
            <w:hideMark/>
          </w:tcPr>
          <w:p w:rsidR="008E145E" w:rsidRPr="005339C3" w:rsidRDefault="008E145E" w:rsidP="008E145E">
            <w:pPr>
              <w:autoSpaceDE w:val="0"/>
              <w:autoSpaceDN w:val="0"/>
              <w:adjustRightInd w:val="0"/>
              <w:spacing w:before="20" w:after="20"/>
              <w:rPr>
                <w:color w:val="000000"/>
              </w:rPr>
            </w:pPr>
            <w:r w:rsidRPr="005339C3">
              <w:rPr>
                <w:color w:val="000000"/>
              </w:rPr>
              <w:t>S</w:t>
            </w:r>
            <w:r>
              <w:rPr>
                <w:color w:val="000000"/>
              </w:rPr>
              <w:t>ulfuric acid mist (S</w:t>
            </w:r>
            <w:r w:rsidRPr="005339C3">
              <w:rPr>
                <w:color w:val="000000"/>
              </w:rPr>
              <w:t>AM</w:t>
            </w:r>
            <w:r>
              <w:rPr>
                <w:color w:val="000000"/>
              </w:rPr>
              <w:t>)</w:t>
            </w:r>
            <w:r w:rsidRPr="005339C3">
              <w:rPr>
                <w:color w:val="000000"/>
              </w:rPr>
              <w:t xml:space="preserve"> </w:t>
            </w:r>
          </w:p>
        </w:tc>
        <w:tc>
          <w:tcPr>
            <w:tcW w:w="1800" w:type="dxa"/>
            <w:hideMark/>
          </w:tcPr>
          <w:p w:rsidR="008E145E" w:rsidRPr="005339C3" w:rsidRDefault="008E145E" w:rsidP="008E145E">
            <w:pPr>
              <w:autoSpaceDE w:val="0"/>
              <w:autoSpaceDN w:val="0"/>
              <w:adjustRightInd w:val="0"/>
              <w:spacing w:before="20" w:after="20"/>
              <w:jc w:val="center"/>
              <w:rPr>
                <w:color w:val="000000"/>
              </w:rPr>
            </w:pPr>
            <w:r w:rsidRPr="005339C3">
              <w:rPr>
                <w:color w:val="000000"/>
              </w:rPr>
              <w:t>7</w:t>
            </w:r>
          </w:p>
        </w:tc>
        <w:tc>
          <w:tcPr>
            <w:tcW w:w="3240" w:type="dxa"/>
            <w:hideMark/>
          </w:tcPr>
          <w:p w:rsidR="008E145E" w:rsidRPr="005339C3" w:rsidRDefault="008E145E" w:rsidP="008E145E">
            <w:pPr>
              <w:autoSpaceDE w:val="0"/>
              <w:autoSpaceDN w:val="0"/>
              <w:adjustRightInd w:val="0"/>
              <w:spacing w:before="20" w:after="20"/>
              <w:rPr>
                <w:color w:val="000000"/>
              </w:rPr>
            </w:pPr>
            <w:r w:rsidRPr="005339C3">
              <w:rPr>
                <w:color w:val="000000"/>
              </w:rPr>
              <w:t xml:space="preserve">fluoride </w:t>
            </w:r>
          </w:p>
        </w:tc>
        <w:tc>
          <w:tcPr>
            <w:tcW w:w="1800" w:type="dxa"/>
            <w:hideMark/>
          </w:tcPr>
          <w:p w:rsidR="008E145E" w:rsidRPr="005339C3" w:rsidRDefault="008E145E" w:rsidP="008E145E">
            <w:pPr>
              <w:autoSpaceDE w:val="0"/>
              <w:autoSpaceDN w:val="0"/>
              <w:adjustRightInd w:val="0"/>
              <w:spacing w:before="20" w:after="20"/>
              <w:jc w:val="center"/>
              <w:rPr>
                <w:color w:val="000000"/>
              </w:rPr>
            </w:pPr>
            <w:r w:rsidRPr="005339C3">
              <w:rPr>
                <w:color w:val="000000"/>
              </w:rPr>
              <w:t>3</w:t>
            </w:r>
          </w:p>
        </w:tc>
      </w:tr>
      <w:tr w:rsidR="008E145E" w:rsidRPr="005C0768" w:rsidTr="008E145E">
        <w:trPr>
          <w:trHeight w:val="246"/>
        </w:trPr>
        <w:tc>
          <w:tcPr>
            <w:tcW w:w="2880" w:type="dxa"/>
            <w:hideMark/>
          </w:tcPr>
          <w:p w:rsidR="008E145E" w:rsidRPr="005339C3" w:rsidRDefault="008E145E" w:rsidP="008E145E">
            <w:pPr>
              <w:autoSpaceDE w:val="0"/>
              <w:autoSpaceDN w:val="0"/>
              <w:adjustRightInd w:val="0"/>
              <w:spacing w:before="20" w:after="20"/>
              <w:rPr>
                <w:color w:val="000000"/>
              </w:rPr>
            </w:pPr>
            <w:r w:rsidRPr="005339C3">
              <w:rPr>
                <w:color w:val="000000"/>
              </w:rPr>
              <w:t>mercury</w:t>
            </w:r>
          </w:p>
        </w:tc>
        <w:tc>
          <w:tcPr>
            <w:tcW w:w="1800" w:type="dxa"/>
            <w:hideMark/>
          </w:tcPr>
          <w:p w:rsidR="008E145E" w:rsidRPr="005339C3" w:rsidRDefault="008E145E" w:rsidP="008E145E">
            <w:pPr>
              <w:autoSpaceDE w:val="0"/>
              <w:autoSpaceDN w:val="0"/>
              <w:adjustRightInd w:val="0"/>
              <w:spacing w:before="20" w:after="20"/>
              <w:jc w:val="center"/>
              <w:rPr>
                <w:color w:val="000000"/>
              </w:rPr>
            </w:pPr>
            <w:r w:rsidRPr="005339C3">
              <w:rPr>
                <w:color w:val="000000"/>
              </w:rPr>
              <w:t xml:space="preserve">0.1 </w:t>
            </w:r>
          </w:p>
        </w:tc>
        <w:tc>
          <w:tcPr>
            <w:tcW w:w="3240" w:type="dxa"/>
            <w:hideMark/>
          </w:tcPr>
          <w:p w:rsidR="008E145E" w:rsidRPr="005339C3" w:rsidRDefault="008E145E" w:rsidP="008E145E">
            <w:pPr>
              <w:autoSpaceDE w:val="0"/>
              <w:autoSpaceDN w:val="0"/>
              <w:adjustRightInd w:val="0"/>
              <w:spacing w:before="20" w:after="20"/>
              <w:rPr>
                <w:color w:val="000000"/>
              </w:rPr>
            </w:pPr>
            <w:r w:rsidRPr="005339C3">
              <w:rPr>
                <w:color w:val="000000"/>
              </w:rPr>
              <w:t xml:space="preserve">lead </w:t>
            </w:r>
          </w:p>
        </w:tc>
        <w:tc>
          <w:tcPr>
            <w:tcW w:w="1800" w:type="dxa"/>
            <w:hideMark/>
          </w:tcPr>
          <w:p w:rsidR="008E145E" w:rsidRPr="005339C3" w:rsidRDefault="008E145E" w:rsidP="008E145E">
            <w:pPr>
              <w:autoSpaceDE w:val="0"/>
              <w:autoSpaceDN w:val="0"/>
              <w:adjustRightInd w:val="0"/>
              <w:spacing w:before="20" w:after="20"/>
              <w:jc w:val="center"/>
              <w:rPr>
                <w:color w:val="000000"/>
              </w:rPr>
            </w:pPr>
            <w:r w:rsidRPr="005339C3">
              <w:rPr>
                <w:color w:val="000000"/>
              </w:rPr>
              <w:t>0.6</w:t>
            </w:r>
          </w:p>
        </w:tc>
      </w:tr>
      <w:tr w:rsidR="008E145E" w:rsidRPr="005C0768" w:rsidTr="008E145E">
        <w:trPr>
          <w:trHeight w:val="311"/>
        </w:trPr>
        <w:tc>
          <w:tcPr>
            <w:tcW w:w="9720" w:type="dxa"/>
            <w:gridSpan w:val="4"/>
            <w:hideMark/>
          </w:tcPr>
          <w:p w:rsidR="008E145E" w:rsidRPr="00747D18" w:rsidRDefault="008E145E" w:rsidP="008E145E">
            <w:pPr>
              <w:numPr>
                <w:ilvl w:val="0"/>
                <w:numId w:val="8"/>
              </w:numPr>
              <w:tabs>
                <w:tab w:val="clear" w:pos="1080"/>
                <w:tab w:val="num" w:pos="342"/>
              </w:tabs>
              <w:autoSpaceDE w:val="0"/>
              <w:autoSpaceDN w:val="0"/>
              <w:adjustRightInd w:val="0"/>
              <w:ind w:left="342" w:hanging="328"/>
              <w:rPr>
                <w:color w:val="000000"/>
                <w:sz w:val="18"/>
                <w:szCs w:val="18"/>
              </w:rPr>
            </w:pPr>
            <w:r w:rsidRPr="00747D18">
              <w:rPr>
                <w:color w:val="000000"/>
                <w:sz w:val="18"/>
                <w:szCs w:val="18"/>
              </w:rPr>
              <w:t>PM</w:t>
            </w:r>
            <w:r w:rsidRPr="00747D18">
              <w:rPr>
                <w:color w:val="000000"/>
                <w:sz w:val="18"/>
                <w:szCs w:val="18"/>
                <w:vertAlign w:val="subscript"/>
              </w:rPr>
              <w:t>2.5</w:t>
            </w:r>
            <w:r w:rsidRPr="00747D18">
              <w:rPr>
                <w:color w:val="000000"/>
                <w:sz w:val="18"/>
                <w:szCs w:val="18"/>
              </w:rPr>
              <w:t xml:space="preserve"> is also regulated through precursors (NO</w:t>
            </w:r>
            <w:r w:rsidRPr="00747D18">
              <w:rPr>
                <w:color w:val="000000"/>
                <w:sz w:val="18"/>
                <w:szCs w:val="18"/>
                <w:vertAlign w:val="subscript"/>
              </w:rPr>
              <w:t>X</w:t>
            </w:r>
            <w:r w:rsidRPr="00747D18">
              <w:rPr>
                <w:color w:val="000000"/>
                <w:sz w:val="18"/>
                <w:szCs w:val="18"/>
              </w:rPr>
              <w:t xml:space="preserve"> and SO</w:t>
            </w:r>
            <w:r w:rsidRPr="00747D18">
              <w:rPr>
                <w:color w:val="000000"/>
                <w:sz w:val="18"/>
                <w:szCs w:val="18"/>
                <w:vertAlign w:val="subscript"/>
              </w:rPr>
              <w:t>2</w:t>
            </w:r>
            <w:r w:rsidRPr="00747D18">
              <w:rPr>
                <w:color w:val="000000"/>
                <w:sz w:val="18"/>
                <w:szCs w:val="18"/>
              </w:rPr>
              <w:t>); Ozone (O</w:t>
            </w:r>
            <w:r w:rsidRPr="00747D18">
              <w:rPr>
                <w:color w:val="000000"/>
                <w:sz w:val="18"/>
                <w:szCs w:val="18"/>
                <w:vertAlign w:val="subscript"/>
              </w:rPr>
              <w:t>3</w:t>
            </w:r>
            <w:r w:rsidRPr="00747D18">
              <w:rPr>
                <w:color w:val="000000"/>
                <w:sz w:val="18"/>
                <w:szCs w:val="18"/>
              </w:rPr>
              <w:t>) is regulated through precursors (VOC and NO</w:t>
            </w:r>
            <w:r w:rsidRPr="00747D18">
              <w:rPr>
                <w:color w:val="000000"/>
                <w:sz w:val="18"/>
                <w:szCs w:val="18"/>
                <w:vertAlign w:val="subscript"/>
              </w:rPr>
              <w:t>X</w:t>
            </w:r>
            <w:r w:rsidRPr="00747D18">
              <w:rPr>
                <w:color w:val="000000"/>
                <w:sz w:val="18"/>
                <w:szCs w:val="18"/>
              </w:rPr>
              <w:t>).</w:t>
            </w:r>
          </w:p>
          <w:p w:rsidR="008E145E" w:rsidRPr="005339C3" w:rsidRDefault="008E145E" w:rsidP="008E145E">
            <w:pPr>
              <w:numPr>
                <w:ilvl w:val="0"/>
                <w:numId w:val="8"/>
              </w:numPr>
              <w:tabs>
                <w:tab w:val="clear" w:pos="1080"/>
                <w:tab w:val="num" w:pos="342"/>
              </w:tabs>
              <w:autoSpaceDE w:val="0"/>
              <w:autoSpaceDN w:val="0"/>
              <w:adjustRightInd w:val="0"/>
              <w:spacing w:after="20"/>
              <w:ind w:left="345" w:hanging="331"/>
              <w:rPr>
                <w:color w:val="000000"/>
                <w:sz w:val="16"/>
                <w:szCs w:val="16"/>
              </w:rPr>
            </w:pPr>
            <w:r w:rsidRPr="005339C3">
              <w:rPr>
                <w:color w:val="000000"/>
                <w:sz w:val="18"/>
                <w:szCs w:val="18"/>
              </w:rPr>
              <w:t>The</w:t>
            </w:r>
            <w:r>
              <w:rPr>
                <w:color w:val="000000"/>
                <w:sz w:val="18"/>
                <w:szCs w:val="18"/>
              </w:rPr>
              <w:t>re is</w:t>
            </w:r>
            <w:r w:rsidRPr="005339C3">
              <w:rPr>
                <w:color w:val="000000"/>
                <w:sz w:val="18"/>
                <w:szCs w:val="18"/>
              </w:rPr>
              <w:t xml:space="preserve"> federal SER of 75,000 </w:t>
            </w:r>
            <w:r w:rsidRPr="00EA3964">
              <w:rPr>
                <w:color w:val="000000"/>
                <w:sz w:val="18"/>
                <w:szCs w:val="18"/>
              </w:rPr>
              <w:t>tons/year</w:t>
            </w:r>
            <w:r w:rsidRPr="005339C3">
              <w:rPr>
                <w:color w:val="000000"/>
                <w:sz w:val="18"/>
                <w:szCs w:val="18"/>
              </w:rPr>
              <w:t xml:space="preserve"> for Greenhouse Gases (GHG) as carbon dioxide equivalent (CO</w:t>
            </w:r>
            <w:r w:rsidRPr="005339C3">
              <w:rPr>
                <w:color w:val="000000"/>
                <w:sz w:val="18"/>
                <w:szCs w:val="18"/>
                <w:vertAlign w:val="subscript"/>
              </w:rPr>
              <w:t>2</w:t>
            </w:r>
            <w:r w:rsidRPr="005339C3">
              <w:rPr>
                <w:color w:val="000000"/>
                <w:sz w:val="18"/>
                <w:szCs w:val="18"/>
              </w:rPr>
              <w:t xml:space="preserve">e) </w:t>
            </w:r>
            <w:r>
              <w:rPr>
                <w:color w:val="000000"/>
                <w:sz w:val="18"/>
                <w:szCs w:val="18"/>
              </w:rPr>
              <w:t xml:space="preserve">that </w:t>
            </w:r>
            <w:r w:rsidRPr="005339C3">
              <w:rPr>
                <w:color w:val="000000"/>
                <w:sz w:val="18"/>
                <w:szCs w:val="18"/>
              </w:rPr>
              <w:t xml:space="preserve">has not been incorporated into Department rules. </w:t>
            </w:r>
          </w:p>
        </w:tc>
      </w:tr>
    </w:tbl>
    <w:p w:rsidR="00F73861" w:rsidRDefault="008E145E" w:rsidP="0046188C">
      <w:pPr>
        <w:pStyle w:val="BodyText"/>
        <w:spacing w:before="120"/>
        <w:rPr>
          <w:sz w:val="22"/>
          <w:szCs w:val="22"/>
        </w:rPr>
      </w:pPr>
      <w:r>
        <w:rPr>
          <w:rFonts w:eastAsia="Calibri"/>
          <w:sz w:val="22"/>
          <w:szCs w:val="22"/>
        </w:rPr>
        <w:t>According to 40 CFR 52.21, six greenhouse gases (</w:t>
      </w:r>
      <w:r w:rsidRPr="00ED735F">
        <w:rPr>
          <w:rFonts w:eastAsia="Calibri"/>
          <w:sz w:val="22"/>
          <w:szCs w:val="22"/>
        </w:rPr>
        <w:t>GHG</w:t>
      </w:r>
      <w:r>
        <w:rPr>
          <w:rFonts w:eastAsia="Calibri"/>
          <w:sz w:val="22"/>
          <w:szCs w:val="22"/>
        </w:rPr>
        <w:t>),</w:t>
      </w:r>
      <w:r w:rsidRPr="00ED735F">
        <w:rPr>
          <w:rFonts w:eastAsia="Calibri"/>
          <w:sz w:val="22"/>
          <w:szCs w:val="22"/>
        </w:rPr>
        <w:t xml:space="preserve"> </w:t>
      </w:r>
      <w:r>
        <w:rPr>
          <w:rFonts w:eastAsia="Calibri"/>
          <w:sz w:val="22"/>
          <w:szCs w:val="22"/>
        </w:rPr>
        <w:t xml:space="preserve">are </w:t>
      </w:r>
      <w:r w:rsidRPr="00ED735F">
        <w:rPr>
          <w:rFonts w:eastAsia="Calibri"/>
          <w:sz w:val="22"/>
          <w:szCs w:val="22"/>
        </w:rPr>
        <w:t>also subject to regulation</w:t>
      </w:r>
      <w:r>
        <w:rPr>
          <w:rFonts w:eastAsia="Calibri"/>
          <w:sz w:val="22"/>
          <w:szCs w:val="22"/>
        </w:rPr>
        <w:t xml:space="preserve"> a</w:t>
      </w:r>
      <w:r w:rsidRPr="00ED735F">
        <w:rPr>
          <w:rFonts w:eastAsia="Calibri"/>
          <w:sz w:val="22"/>
          <w:szCs w:val="22"/>
        </w:rPr>
        <w:t>t new stationary source</w:t>
      </w:r>
      <w:r>
        <w:rPr>
          <w:rFonts w:eastAsia="Calibri"/>
          <w:sz w:val="22"/>
          <w:szCs w:val="22"/>
        </w:rPr>
        <w:t>s</w:t>
      </w:r>
      <w:r w:rsidRPr="00ED735F">
        <w:rPr>
          <w:rFonts w:eastAsia="Calibri"/>
          <w:sz w:val="22"/>
          <w:szCs w:val="22"/>
        </w:rPr>
        <w:t xml:space="preserve"> </w:t>
      </w:r>
      <w:r w:rsidR="00F73861" w:rsidRPr="00F73861">
        <w:rPr>
          <w:sz w:val="22"/>
          <w:szCs w:val="22"/>
        </w:rPr>
        <w:t>According to 40 CFR 52.21, six greenhouse gases (GHG), are also subject to regulation at new stationary sources that will emit or have the potential to emit 100,000 tons/year (SER equal to 75,000 tons/year) expressed as the carbon dioxide equivalent emissions (CO</w:t>
      </w:r>
      <w:r w:rsidR="00F73861" w:rsidRPr="00F73861">
        <w:rPr>
          <w:sz w:val="22"/>
          <w:szCs w:val="22"/>
          <w:vertAlign w:val="subscript"/>
        </w:rPr>
        <w:t>2</w:t>
      </w:r>
      <w:r w:rsidR="00F73861" w:rsidRPr="00F73861">
        <w:rPr>
          <w:sz w:val="22"/>
          <w:szCs w:val="22"/>
        </w:rPr>
        <w:t xml:space="preserve">e).  This requirement has not been incorporated into Department rules but is a separate requirement of the EPA.  </w:t>
      </w:r>
    </w:p>
    <w:p w:rsidR="008E145E" w:rsidRPr="00277141" w:rsidRDefault="008E145E" w:rsidP="008E145E">
      <w:pPr>
        <w:widowControl w:val="0"/>
        <w:tabs>
          <w:tab w:val="left" w:pos="360"/>
        </w:tabs>
        <w:spacing w:after="120"/>
        <w:rPr>
          <w:b/>
          <w:i/>
          <w:sz w:val="22"/>
          <w:szCs w:val="22"/>
        </w:rPr>
      </w:pPr>
      <w:r w:rsidRPr="00277141">
        <w:rPr>
          <w:b/>
          <w:i/>
          <w:sz w:val="22"/>
          <w:szCs w:val="22"/>
        </w:rPr>
        <w:t>Methodology for Calculations of Baseline Actual Emissions and Projected Actual Emissions</w:t>
      </w:r>
    </w:p>
    <w:p w:rsidR="008E145E" w:rsidRPr="005215C0" w:rsidRDefault="008E145E" w:rsidP="008E145E">
      <w:pPr>
        <w:autoSpaceDE w:val="0"/>
        <w:autoSpaceDN w:val="0"/>
        <w:adjustRightInd w:val="0"/>
        <w:spacing w:after="120"/>
        <w:rPr>
          <w:sz w:val="22"/>
          <w:szCs w:val="22"/>
        </w:rPr>
      </w:pPr>
      <w:r w:rsidRPr="005215C0">
        <w:rPr>
          <w:sz w:val="22"/>
          <w:szCs w:val="22"/>
        </w:rPr>
        <w:t>To determine whether the project causes net emissions increases equal to or greater than the respective SER (triggering PSD) requires a comparison of recent “baseline actual emissions” with future “projected actual emissions”.  According to Rule 62-210.200(Definitions), F.A.C., for any existing electric utility steam generating unit:</w:t>
      </w:r>
    </w:p>
    <w:p w:rsidR="008E145E" w:rsidRPr="005215C0" w:rsidRDefault="008E145E" w:rsidP="008E145E">
      <w:pPr>
        <w:autoSpaceDE w:val="0"/>
        <w:autoSpaceDN w:val="0"/>
        <w:adjustRightInd w:val="0"/>
        <w:spacing w:after="60"/>
        <w:rPr>
          <w:i/>
          <w:sz w:val="22"/>
          <w:szCs w:val="22"/>
        </w:rPr>
      </w:pPr>
      <w:r w:rsidRPr="005215C0">
        <w:rPr>
          <w:i/>
          <w:sz w:val="22"/>
          <w:szCs w:val="22"/>
        </w:rPr>
        <w:t>“Baseline actual emissions</w:t>
      </w:r>
      <w:r>
        <w:rPr>
          <w:i/>
          <w:sz w:val="22"/>
          <w:szCs w:val="22"/>
        </w:rPr>
        <w:t>"</w:t>
      </w:r>
      <w:r w:rsidRPr="005215C0">
        <w:rPr>
          <w:i/>
          <w:sz w:val="22"/>
          <w:szCs w:val="22"/>
        </w:rPr>
        <w:t xml:space="preserve"> means the average rate, in tons per year, at which the unit actually emitted the pollutant during any consecutive 24-month period selected by the owner or operator within the 5-year period immediately preceding the date a complete permit application is received by the Department.  The Department shall allow the use of a different time period upon a determination that it is more representative of normal source operation”.</w:t>
      </w:r>
    </w:p>
    <w:p w:rsidR="008E145E" w:rsidRPr="005215C0" w:rsidRDefault="008E145E" w:rsidP="008E145E">
      <w:pPr>
        <w:pStyle w:val="ListParagraph"/>
        <w:numPr>
          <w:ilvl w:val="0"/>
          <w:numId w:val="12"/>
        </w:numPr>
        <w:autoSpaceDE w:val="0"/>
        <w:autoSpaceDN w:val="0"/>
        <w:adjustRightInd w:val="0"/>
        <w:spacing w:after="60"/>
        <w:ind w:left="360"/>
        <w:rPr>
          <w:sz w:val="22"/>
          <w:szCs w:val="22"/>
        </w:rPr>
      </w:pPr>
      <w:r w:rsidRPr="005215C0">
        <w:rPr>
          <w:sz w:val="22"/>
          <w:szCs w:val="22"/>
        </w:rPr>
        <w:t>The average rate shall include fugitive emissions to the extent quantifiable, and emissions associated with startups and shutdowns.</w:t>
      </w:r>
    </w:p>
    <w:p w:rsidR="008E145E" w:rsidRPr="005215C0" w:rsidRDefault="008E145E" w:rsidP="008E145E">
      <w:pPr>
        <w:pStyle w:val="ListParagraph"/>
        <w:numPr>
          <w:ilvl w:val="0"/>
          <w:numId w:val="12"/>
        </w:numPr>
        <w:autoSpaceDE w:val="0"/>
        <w:autoSpaceDN w:val="0"/>
        <w:adjustRightInd w:val="0"/>
        <w:spacing w:after="60"/>
        <w:ind w:left="360"/>
        <w:rPr>
          <w:sz w:val="22"/>
          <w:szCs w:val="22"/>
        </w:rPr>
      </w:pPr>
      <w:r w:rsidRPr="005215C0">
        <w:rPr>
          <w:sz w:val="22"/>
          <w:szCs w:val="22"/>
        </w:rPr>
        <w:t>The average rate shall be adjusted downward to exclude any non-compliant emissions that occurred while the source was operating above any emission limitation that was legally enforceable during the consecutive 24-month period.</w:t>
      </w:r>
    </w:p>
    <w:p w:rsidR="008E145E" w:rsidRPr="005215C0" w:rsidRDefault="008E145E" w:rsidP="008E145E">
      <w:pPr>
        <w:pStyle w:val="ListParagraph"/>
        <w:numPr>
          <w:ilvl w:val="0"/>
          <w:numId w:val="12"/>
        </w:numPr>
        <w:autoSpaceDE w:val="0"/>
        <w:autoSpaceDN w:val="0"/>
        <w:adjustRightInd w:val="0"/>
        <w:spacing w:after="60"/>
        <w:ind w:left="360"/>
        <w:rPr>
          <w:sz w:val="22"/>
          <w:szCs w:val="22"/>
        </w:rPr>
      </w:pPr>
      <w:r w:rsidRPr="005215C0">
        <w:rPr>
          <w:sz w:val="22"/>
          <w:szCs w:val="22"/>
        </w:rPr>
        <w:lastRenderedPageBreak/>
        <w:t xml:space="preserve">For a PSD pollutant, when a project involves multiple emissions units, only one consecutive 24-month period must be used to determine the baseline actual emissions for the emissions units being changed. </w:t>
      </w:r>
      <w:r w:rsidR="0046188C">
        <w:rPr>
          <w:sz w:val="22"/>
          <w:szCs w:val="22"/>
        </w:rPr>
        <w:t xml:space="preserve"> </w:t>
      </w:r>
      <w:r w:rsidRPr="005215C0">
        <w:rPr>
          <w:sz w:val="22"/>
          <w:szCs w:val="22"/>
        </w:rPr>
        <w:t>A different consecutive 24-month period can be used for each PSD pollutant.</w:t>
      </w:r>
    </w:p>
    <w:p w:rsidR="008E145E" w:rsidRDefault="008E145E" w:rsidP="008E145E">
      <w:pPr>
        <w:pStyle w:val="ListParagraph"/>
        <w:numPr>
          <w:ilvl w:val="0"/>
          <w:numId w:val="12"/>
        </w:numPr>
        <w:autoSpaceDE w:val="0"/>
        <w:autoSpaceDN w:val="0"/>
        <w:adjustRightInd w:val="0"/>
        <w:ind w:left="360"/>
        <w:rPr>
          <w:sz w:val="22"/>
          <w:szCs w:val="22"/>
        </w:rPr>
      </w:pPr>
      <w:r w:rsidRPr="005215C0">
        <w:rPr>
          <w:sz w:val="22"/>
          <w:szCs w:val="22"/>
        </w:rPr>
        <w:t>The average rate shall not be based on any consecutive 24-month period for which there is inadequate information for determining annual emissions, in tons per year, and for adjusting this amoun</w:t>
      </w:r>
      <w:r w:rsidR="009839F4">
        <w:rPr>
          <w:sz w:val="22"/>
          <w:szCs w:val="22"/>
        </w:rPr>
        <w:t>t if required by subparagraph 2</w:t>
      </w:r>
      <w:r>
        <w:rPr>
          <w:sz w:val="22"/>
          <w:szCs w:val="22"/>
        </w:rPr>
        <w:t>,</w:t>
      </w:r>
      <w:r w:rsidRPr="005215C0">
        <w:rPr>
          <w:sz w:val="22"/>
          <w:szCs w:val="22"/>
        </w:rPr>
        <w:t xml:space="preserve"> above.</w:t>
      </w:r>
    </w:p>
    <w:p w:rsidR="008E145E" w:rsidRDefault="008E145E" w:rsidP="008E145E">
      <w:pPr>
        <w:autoSpaceDE w:val="0"/>
        <w:autoSpaceDN w:val="0"/>
        <w:adjustRightInd w:val="0"/>
        <w:spacing w:before="120" w:after="120"/>
        <w:rPr>
          <w:sz w:val="22"/>
          <w:szCs w:val="22"/>
        </w:rPr>
      </w:pPr>
      <w:r w:rsidRPr="00E144DB">
        <w:rPr>
          <w:sz w:val="22"/>
          <w:szCs w:val="22"/>
        </w:rPr>
        <w:t>According to Rule 62-210.200(Definitions), F.A.C., for an existing unit (other than an electric steam generating unit)</w:t>
      </w:r>
      <w:r>
        <w:rPr>
          <w:sz w:val="22"/>
          <w:szCs w:val="22"/>
        </w:rPr>
        <w:t xml:space="preserve">:  </w:t>
      </w:r>
    </w:p>
    <w:p w:rsidR="008E145E" w:rsidRPr="00326C19" w:rsidRDefault="008E145E" w:rsidP="008E145E">
      <w:pPr>
        <w:autoSpaceDE w:val="0"/>
        <w:autoSpaceDN w:val="0"/>
        <w:adjustRightInd w:val="0"/>
        <w:spacing w:after="120"/>
        <w:rPr>
          <w:i/>
          <w:sz w:val="22"/>
          <w:szCs w:val="22"/>
        </w:rPr>
      </w:pPr>
      <w:r w:rsidRPr="00CD3805">
        <w:rPr>
          <w:i/>
          <w:sz w:val="22"/>
          <w:szCs w:val="22"/>
        </w:rPr>
        <w:t>“Projected Actual Emissions”</w:t>
      </w:r>
      <w:r w:rsidRPr="00326C19">
        <w:rPr>
          <w:i/>
          <w:sz w:val="22"/>
          <w:szCs w:val="22"/>
        </w:rPr>
        <w:t xml:space="preserve"> means the maximum annual rate, in tons/year, at which an existing emissions unit is projected to emit a PSD pollutant </w:t>
      </w:r>
      <w:r w:rsidRPr="0001136E">
        <w:rPr>
          <w:i/>
          <w:sz w:val="22"/>
          <w:szCs w:val="22"/>
        </w:rPr>
        <w:t>in any one of</w:t>
      </w:r>
      <w:r w:rsidRPr="00326C19">
        <w:rPr>
          <w:i/>
          <w:sz w:val="22"/>
          <w:szCs w:val="22"/>
        </w:rPr>
        <w:t xml:space="preserve"> the 5 years following the date the unit resumes regular operation after the project</w:t>
      </w:r>
      <w:r w:rsidRPr="0001136E">
        <w:rPr>
          <w:i/>
          <w:sz w:val="22"/>
          <w:szCs w:val="22"/>
        </w:rPr>
        <w:t>, or in any one of</w:t>
      </w:r>
      <w:r w:rsidRPr="00326C19">
        <w:rPr>
          <w:i/>
          <w:sz w:val="22"/>
          <w:szCs w:val="22"/>
        </w:rPr>
        <w:t xml:space="preserve"> the 10 years following that date, if the project involves increasing the emissions unit's design capacity or its potential to emit that PSD pollutant and full utilization of the unit would result in a significant emissions increase or a significant net emissions increase at the major stationary source.  One year is one 12-month period. </w:t>
      </w:r>
      <w:r>
        <w:rPr>
          <w:i/>
          <w:sz w:val="22"/>
          <w:szCs w:val="22"/>
        </w:rPr>
        <w:t xml:space="preserve">  </w:t>
      </w:r>
      <w:r w:rsidRPr="00326C19">
        <w:rPr>
          <w:i/>
          <w:sz w:val="22"/>
          <w:szCs w:val="22"/>
        </w:rPr>
        <w:t>In determining the projected actual emissions, the Department:</w:t>
      </w:r>
    </w:p>
    <w:p w:rsidR="008E145E" w:rsidRPr="00983DAB" w:rsidRDefault="008E145E" w:rsidP="008E145E">
      <w:pPr>
        <w:numPr>
          <w:ilvl w:val="0"/>
          <w:numId w:val="13"/>
        </w:numPr>
        <w:autoSpaceDE w:val="0"/>
        <w:autoSpaceDN w:val="0"/>
        <w:adjustRightInd w:val="0"/>
        <w:spacing w:after="60"/>
        <w:ind w:left="360"/>
        <w:rPr>
          <w:sz w:val="22"/>
          <w:szCs w:val="22"/>
        </w:rPr>
      </w:pPr>
      <w:r w:rsidRPr="00983DAB">
        <w:rPr>
          <w:sz w:val="22"/>
          <w:szCs w:val="22"/>
        </w:rPr>
        <w:t>Shall consider all relevant information, including historical operational data, the company’s own representations, the</w:t>
      </w:r>
      <w:r>
        <w:rPr>
          <w:sz w:val="22"/>
          <w:szCs w:val="22"/>
        </w:rPr>
        <w:t xml:space="preserve"> </w:t>
      </w:r>
      <w:r w:rsidRPr="00983DAB">
        <w:rPr>
          <w:sz w:val="22"/>
          <w:szCs w:val="22"/>
        </w:rPr>
        <w:t>company’s expected business activity and the company’s highest projections of business activity, the company’s filings with the</w:t>
      </w:r>
      <w:r>
        <w:rPr>
          <w:sz w:val="22"/>
          <w:szCs w:val="22"/>
        </w:rPr>
        <w:t xml:space="preserve"> </w:t>
      </w:r>
      <w:r w:rsidRPr="00983DAB">
        <w:rPr>
          <w:sz w:val="22"/>
          <w:szCs w:val="22"/>
        </w:rPr>
        <w:t>State or Federal regulatory authorities, and compliance plans or orders, including consent orders; and</w:t>
      </w:r>
    </w:p>
    <w:p w:rsidR="008E145E" w:rsidRPr="00983DAB" w:rsidRDefault="008E145E" w:rsidP="008E145E">
      <w:pPr>
        <w:numPr>
          <w:ilvl w:val="0"/>
          <w:numId w:val="13"/>
        </w:numPr>
        <w:autoSpaceDE w:val="0"/>
        <w:autoSpaceDN w:val="0"/>
        <w:adjustRightInd w:val="0"/>
        <w:spacing w:after="60"/>
        <w:ind w:left="360"/>
        <w:rPr>
          <w:sz w:val="22"/>
          <w:szCs w:val="22"/>
        </w:rPr>
      </w:pPr>
      <w:r w:rsidRPr="00983DAB">
        <w:rPr>
          <w:sz w:val="22"/>
          <w:szCs w:val="22"/>
        </w:rPr>
        <w:t>Shall include fugitive emissions to the extent quantifiable and emissions associated with startups and shutdowns; and</w:t>
      </w:r>
    </w:p>
    <w:p w:rsidR="008E145E" w:rsidRPr="00983DAB" w:rsidRDefault="008E145E" w:rsidP="008E145E">
      <w:pPr>
        <w:numPr>
          <w:ilvl w:val="0"/>
          <w:numId w:val="13"/>
        </w:numPr>
        <w:autoSpaceDE w:val="0"/>
        <w:autoSpaceDN w:val="0"/>
        <w:adjustRightInd w:val="0"/>
        <w:spacing w:after="60"/>
        <w:ind w:left="360"/>
        <w:rPr>
          <w:sz w:val="22"/>
          <w:szCs w:val="22"/>
        </w:rPr>
      </w:pPr>
      <w:r w:rsidRPr="00983DAB">
        <w:rPr>
          <w:sz w:val="22"/>
          <w:szCs w:val="22"/>
        </w:rPr>
        <w:t>Shall exclude that portion of the unit's emissions following the project that an existing unit could have accommodated during</w:t>
      </w:r>
      <w:r>
        <w:rPr>
          <w:sz w:val="22"/>
          <w:szCs w:val="22"/>
        </w:rPr>
        <w:t xml:space="preserve"> </w:t>
      </w:r>
      <w:r w:rsidRPr="00983DAB">
        <w:rPr>
          <w:sz w:val="22"/>
          <w:szCs w:val="22"/>
        </w:rPr>
        <w:t>the consecutive 24-month period used to establish the baseline actual emissions and that are also unrelated to the particular project</w:t>
      </w:r>
      <w:r>
        <w:rPr>
          <w:sz w:val="22"/>
          <w:szCs w:val="22"/>
        </w:rPr>
        <w:t xml:space="preserve"> </w:t>
      </w:r>
      <w:r w:rsidRPr="00983DAB">
        <w:rPr>
          <w:sz w:val="22"/>
          <w:szCs w:val="22"/>
        </w:rPr>
        <w:t>including any increased utilization due to product demand growth; or</w:t>
      </w:r>
    </w:p>
    <w:p w:rsidR="009E51EE" w:rsidRPr="009E51EE" w:rsidRDefault="008E145E" w:rsidP="009E51EE">
      <w:pPr>
        <w:numPr>
          <w:ilvl w:val="0"/>
          <w:numId w:val="13"/>
        </w:numPr>
        <w:autoSpaceDE w:val="0"/>
        <w:autoSpaceDN w:val="0"/>
        <w:adjustRightInd w:val="0"/>
        <w:spacing w:after="120"/>
        <w:ind w:left="360"/>
        <w:rPr>
          <w:sz w:val="22"/>
          <w:szCs w:val="22"/>
        </w:rPr>
      </w:pPr>
      <w:r w:rsidRPr="00CD3805">
        <w:rPr>
          <w:sz w:val="22"/>
          <w:szCs w:val="22"/>
        </w:rPr>
        <w:t>In lieu of using the method set out in paragraphs (a) through (c) above, may be directed by the owner or operator to use the emissions unit’s potential to emit, in tons per year.</w:t>
      </w:r>
    </w:p>
    <w:p w:rsidR="009E51EE" w:rsidRPr="009E51EE" w:rsidRDefault="009E51EE" w:rsidP="00787B5D">
      <w:pPr>
        <w:pStyle w:val="ListParagraph"/>
        <w:numPr>
          <w:ilvl w:val="1"/>
          <w:numId w:val="19"/>
        </w:numPr>
        <w:spacing w:after="120"/>
        <w:ind w:left="540" w:hanging="540"/>
        <w:rPr>
          <w:b/>
          <w:sz w:val="22"/>
          <w:szCs w:val="22"/>
        </w:rPr>
      </w:pPr>
      <w:r w:rsidRPr="009E51EE">
        <w:rPr>
          <w:b/>
          <w:sz w:val="22"/>
          <w:szCs w:val="22"/>
        </w:rPr>
        <w:t>PSD Applicability for Project</w:t>
      </w:r>
    </w:p>
    <w:p w:rsidR="009E51EE" w:rsidRPr="00277141" w:rsidRDefault="009E51EE" w:rsidP="009E51EE">
      <w:pPr>
        <w:widowControl w:val="0"/>
        <w:spacing w:after="120"/>
        <w:rPr>
          <w:rFonts w:eastAsia="Calibri"/>
          <w:sz w:val="22"/>
          <w:szCs w:val="22"/>
        </w:rPr>
      </w:pPr>
      <w:r w:rsidRPr="00277141">
        <w:rPr>
          <w:sz w:val="22"/>
          <w:szCs w:val="22"/>
        </w:rPr>
        <w:t xml:space="preserve">The project is located in </w:t>
      </w:r>
      <w:r>
        <w:rPr>
          <w:sz w:val="22"/>
          <w:szCs w:val="22"/>
        </w:rPr>
        <w:t xml:space="preserve">Bay </w:t>
      </w:r>
      <w:r w:rsidRPr="00277141">
        <w:rPr>
          <w:sz w:val="22"/>
          <w:szCs w:val="22"/>
        </w:rPr>
        <w:t>County, which is in an area that is currently in attainment with the state and federal AAQS or otherwise</w:t>
      </w:r>
      <w:r>
        <w:rPr>
          <w:sz w:val="22"/>
          <w:szCs w:val="22"/>
        </w:rPr>
        <w:t xml:space="preserve"> designated as unclassifiable.</w:t>
      </w:r>
    </w:p>
    <w:p w:rsidR="00D95A86" w:rsidRDefault="00DB0AF0" w:rsidP="00340C78">
      <w:pPr>
        <w:spacing w:after="120"/>
        <w:rPr>
          <w:sz w:val="22"/>
          <w:szCs w:val="22"/>
        </w:rPr>
      </w:pPr>
      <w:r>
        <w:rPr>
          <w:sz w:val="22"/>
          <w:szCs w:val="22"/>
        </w:rPr>
        <w:t>According to the</w:t>
      </w:r>
      <w:r w:rsidR="00E95705" w:rsidRPr="00D165BD">
        <w:rPr>
          <w:sz w:val="22"/>
          <w:szCs w:val="22"/>
        </w:rPr>
        <w:t xml:space="preserve"> applicant</w:t>
      </w:r>
      <w:r>
        <w:rPr>
          <w:sz w:val="22"/>
          <w:szCs w:val="22"/>
        </w:rPr>
        <w:t xml:space="preserve"> and stack test</w:t>
      </w:r>
      <w:r w:rsidR="00160267">
        <w:rPr>
          <w:sz w:val="22"/>
          <w:szCs w:val="22"/>
        </w:rPr>
        <w:t xml:space="preserve"> data from </w:t>
      </w:r>
      <w:r w:rsidR="000F0931">
        <w:rPr>
          <w:sz w:val="22"/>
          <w:szCs w:val="22"/>
        </w:rPr>
        <w:t xml:space="preserve">multiple, short duration </w:t>
      </w:r>
      <w:r>
        <w:rPr>
          <w:sz w:val="22"/>
          <w:szCs w:val="22"/>
        </w:rPr>
        <w:t xml:space="preserve">test </w:t>
      </w:r>
      <w:r w:rsidR="00D95A86">
        <w:rPr>
          <w:sz w:val="22"/>
          <w:szCs w:val="22"/>
        </w:rPr>
        <w:t>runs</w:t>
      </w:r>
      <w:r>
        <w:rPr>
          <w:sz w:val="22"/>
          <w:szCs w:val="22"/>
        </w:rPr>
        <w:t xml:space="preserve"> allowed in </w:t>
      </w:r>
      <w:r w:rsidR="00160267">
        <w:rPr>
          <w:sz w:val="22"/>
          <w:szCs w:val="22"/>
        </w:rPr>
        <w:t>air construction permit No.</w:t>
      </w:r>
      <w:r w:rsidR="00160267" w:rsidRPr="00160267">
        <w:rPr>
          <w:sz w:val="22"/>
          <w:szCs w:val="22"/>
        </w:rPr>
        <w:t xml:space="preserve"> </w:t>
      </w:r>
      <w:r w:rsidR="00160267">
        <w:rPr>
          <w:sz w:val="22"/>
          <w:szCs w:val="22"/>
        </w:rPr>
        <w:t>0050014</w:t>
      </w:r>
      <w:r w:rsidR="00160267" w:rsidRPr="00AE2D88">
        <w:rPr>
          <w:sz w:val="22"/>
          <w:szCs w:val="22"/>
        </w:rPr>
        <w:t>-0</w:t>
      </w:r>
      <w:r w:rsidR="00160267">
        <w:rPr>
          <w:sz w:val="22"/>
          <w:szCs w:val="22"/>
        </w:rPr>
        <w:t>23</w:t>
      </w:r>
      <w:r w:rsidR="00160267" w:rsidRPr="00AE2D88">
        <w:rPr>
          <w:sz w:val="22"/>
          <w:szCs w:val="22"/>
        </w:rPr>
        <w:t>-AC</w:t>
      </w:r>
      <w:r w:rsidR="00E95705" w:rsidRPr="00D165BD">
        <w:rPr>
          <w:sz w:val="22"/>
          <w:szCs w:val="22"/>
        </w:rPr>
        <w:t xml:space="preserve">, </w:t>
      </w:r>
      <w:r w:rsidR="00A01222">
        <w:rPr>
          <w:sz w:val="22"/>
          <w:szCs w:val="22"/>
        </w:rPr>
        <w:t xml:space="preserve">the </w:t>
      </w:r>
      <w:r w:rsidR="008119D8" w:rsidRPr="00D165BD">
        <w:rPr>
          <w:sz w:val="22"/>
          <w:szCs w:val="22"/>
        </w:rPr>
        <w:t xml:space="preserve">project is expected to </w:t>
      </w:r>
      <w:r w:rsidR="00E95705" w:rsidRPr="00D165BD">
        <w:rPr>
          <w:sz w:val="22"/>
          <w:szCs w:val="22"/>
        </w:rPr>
        <w:t>increase PM emissions (and thus PM</w:t>
      </w:r>
      <w:r w:rsidR="00E95705" w:rsidRPr="00D165BD">
        <w:rPr>
          <w:sz w:val="22"/>
          <w:szCs w:val="22"/>
          <w:vertAlign w:val="subscript"/>
        </w:rPr>
        <w:t>10</w:t>
      </w:r>
      <w:r w:rsidR="00E95705" w:rsidRPr="00D165BD">
        <w:rPr>
          <w:sz w:val="22"/>
          <w:szCs w:val="22"/>
        </w:rPr>
        <w:t xml:space="preserve"> and filterable PM</w:t>
      </w:r>
      <w:r w:rsidR="00E95705" w:rsidRPr="00D165BD">
        <w:rPr>
          <w:sz w:val="22"/>
          <w:szCs w:val="22"/>
          <w:vertAlign w:val="subscript"/>
        </w:rPr>
        <w:t>2.5</w:t>
      </w:r>
      <w:r w:rsidR="00E95705" w:rsidRPr="00D165BD">
        <w:rPr>
          <w:sz w:val="22"/>
          <w:szCs w:val="22"/>
        </w:rPr>
        <w:t xml:space="preserve">) by </w:t>
      </w:r>
      <w:r w:rsidR="00160267">
        <w:rPr>
          <w:sz w:val="22"/>
          <w:szCs w:val="22"/>
        </w:rPr>
        <w:t>far less than</w:t>
      </w:r>
      <w:r w:rsidR="00E95705" w:rsidRPr="00D165BD">
        <w:rPr>
          <w:sz w:val="22"/>
          <w:szCs w:val="22"/>
        </w:rPr>
        <w:t xml:space="preserve"> </w:t>
      </w:r>
      <w:r w:rsidR="00D22B7E" w:rsidRPr="00D165BD">
        <w:rPr>
          <w:sz w:val="22"/>
          <w:szCs w:val="22"/>
        </w:rPr>
        <w:t>6</w:t>
      </w:r>
      <w:r w:rsidR="00D165BD" w:rsidRPr="00D165BD">
        <w:rPr>
          <w:sz w:val="22"/>
          <w:szCs w:val="22"/>
        </w:rPr>
        <w:t xml:space="preserve"> tons/year.  </w:t>
      </w:r>
      <w:r w:rsidR="00160267">
        <w:rPr>
          <w:sz w:val="22"/>
          <w:szCs w:val="22"/>
        </w:rPr>
        <w:t xml:space="preserve">The test burn program Gulf Power </w:t>
      </w:r>
      <w:r>
        <w:rPr>
          <w:sz w:val="22"/>
          <w:szCs w:val="22"/>
        </w:rPr>
        <w:t xml:space="preserve">previously </w:t>
      </w:r>
      <w:r w:rsidR="00160267">
        <w:rPr>
          <w:sz w:val="22"/>
          <w:szCs w:val="22"/>
        </w:rPr>
        <w:t>condu</w:t>
      </w:r>
      <w:r>
        <w:rPr>
          <w:sz w:val="22"/>
          <w:szCs w:val="22"/>
        </w:rPr>
        <w:t>cted on units 1 and 2 (permit No. 0050014-023-AC) using the same emission control sorbents saw a slight increase of PM emissions o</w:t>
      </w:r>
      <w:r w:rsidR="0081608A">
        <w:rPr>
          <w:sz w:val="22"/>
          <w:szCs w:val="22"/>
        </w:rPr>
        <w:t>f 1.5 tons.  Emission reductions</w:t>
      </w:r>
      <w:r>
        <w:rPr>
          <w:sz w:val="22"/>
          <w:szCs w:val="22"/>
        </w:rPr>
        <w:t xml:space="preserve"> of mercury were up to sixty percent</w:t>
      </w:r>
      <w:r w:rsidR="0081608A">
        <w:rPr>
          <w:sz w:val="22"/>
          <w:szCs w:val="22"/>
        </w:rPr>
        <w:t xml:space="preserve"> during</w:t>
      </w:r>
      <w:r>
        <w:rPr>
          <w:sz w:val="22"/>
          <w:szCs w:val="22"/>
        </w:rPr>
        <w:t xml:space="preserve"> the initial round of testing conducted in August</w:t>
      </w:r>
      <w:r w:rsidR="0081608A">
        <w:rPr>
          <w:sz w:val="22"/>
          <w:szCs w:val="22"/>
        </w:rPr>
        <w:t xml:space="preserve"> at the hot side of the ESP with no opacity or particulate issues.</w:t>
      </w:r>
      <w:r w:rsidR="000F0931">
        <w:rPr>
          <w:sz w:val="22"/>
          <w:szCs w:val="22"/>
        </w:rPr>
        <w:t xml:space="preserve">  The hydrated lime sorbent met the hydrogen chloride reduction objective with an observed emission rate lower than MATS at approximately 0.0012</w:t>
      </w:r>
      <w:r w:rsidR="0081608A">
        <w:rPr>
          <w:sz w:val="22"/>
          <w:szCs w:val="22"/>
        </w:rPr>
        <w:t xml:space="preserve"> </w:t>
      </w:r>
      <w:r w:rsidR="000F0931">
        <w:rPr>
          <w:sz w:val="22"/>
          <w:szCs w:val="22"/>
        </w:rPr>
        <w:t>to 0.0024 lbs/MMBtu with no observed opacity or particulate issues.  The Trona sorbent met the SO</w:t>
      </w:r>
      <w:r w:rsidR="000F0931">
        <w:rPr>
          <w:sz w:val="22"/>
          <w:szCs w:val="22"/>
          <w:vertAlign w:val="subscript"/>
        </w:rPr>
        <w:t>2</w:t>
      </w:r>
      <w:r w:rsidR="000F0931">
        <w:rPr>
          <w:sz w:val="22"/>
          <w:szCs w:val="22"/>
        </w:rPr>
        <w:t xml:space="preserve"> (50%) and HCl (90%) reduction goals on all loads with no observe</w:t>
      </w:r>
      <w:r w:rsidR="00340C78">
        <w:rPr>
          <w:sz w:val="22"/>
          <w:szCs w:val="22"/>
        </w:rPr>
        <w:t>d opacity or particulate issues.</w:t>
      </w:r>
    </w:p>
    <w:p w:rsidR="00340C78" w:rsidRDefault="00D95A86">
      <w:pPr>
        <w:rPr>
          <w:sz w:val="22"/>
          <w:szCs w:val="22"/>
        </w:rPr>
      </w:pPr>
      <w:r>
        <w:rPr>
          <w:sz w:val="22"/>
          <w:szCs w:val="22"/>
        </w:rPr>
        <w:t>The activated carbon injection before the cold-side ESP performed as expected during the initial testing.  Opacity and PM emission measurements indicated that most of the carbon sorbent did not react and was not collected by the cold-side precipitator.  A second test was conducted using ADA Fast Pac carbon with success by adjusting the cold-side ESP rapper program.  This information along with a longer term impact study on process and control equipment will be used to develop the mercury control strategy.</w:t>
      </w:r>
      <w:r w:rsidR="00340C78">
        <w:rPr>
          <w:sz w:val="22"/>
          <w:szCs w:val="22"/>
        </w:rPr>
        <w:br w:type="page"/>
      </w:r>
    </w:p>
    <w:p w:rsidR="00887F13" w:rsidRPr="004D335D" w:rsidRDefault="00372A77" w:rsidP="00372A77">
      <w:pPr>
        <w:pStyle w:val="Default"/>
        <w:spacing w:after="120"/>
        <w:rPr>
          <w:sz w:val="22"/>
          <w:szCs w:val="22"/>
        </w:rPr>
      </w:pPr>
      <w:r>
        <w:rPr>
          <w:sz w:val="22"/>
          <w:szCs w:val="22"/>
        </w:rPr>
        <w:lastRenderedPageBreak/>
        <w:t>After analyzing the stack test data provide from the initial test project,</w:t>
      </w:r>
      <w:r w:rsidR="00887F13">
        <w:rPr>
          <w:sz w:val="22"/>
          <w:szCs w:val="22"/>
        </w:rPr>
        <w:t xml:space="preserve"> </w:t>
      </w:r>
      <w:r w:rsidR="00340C78">
        <w:rPr>
          <w:sz w:val="22"/>
          <w:szCs w:val="22"/>
        </w:rPr>
        <w:t xml:space="preserve">the </w:t>
      </w:r>
      <w:r w:rsidR="00887F13">
        <w:rPr>
          <w:sz w:val="22"/>
          <w:szCs w:val="22"/>
        </w:rPr>
        <w:t>applicant</w:t>
      </w:r>
      <w:r>
        <w:rPr>
          <w:sz w:val="22"/>
          <w:szCs w:val="22"/>
        </w:rPr>
        <w:t xml:space="preserve"> demonstrated: </w:t>
      </w:r>
      <w:r w:rsidR="00887F13">
        <w:rPr>
          <w:sz w:val="22"/>
          <w:szCs w:val="22"/>
        </w:rPr>
        <w:t xml:space="preserve">Hg emissions </w:t>
      </w:r>
      <w:r>
        <w:rPr>
          <w:sz w:val="22"/>
          <w:szCs w:val="22"/>
        </w:rPr>
        <w:t>can</w:t>
      </w:r>
      <w:r w:rsidR="00887F13">
        <w:rPr>
          <w:sz w:val="22"/>
          <w:szCs w:val="22"/>
        </w:rPr>
        <w:t xml:space="preserve"> be sig</w:t>
      </w:r>
      <w:r w:rsidR="00D165BD">
        <w:rPr>
          <w:sz w:val="22"/>
          <w:szCs w:val="22"/>
        </w:rPr>
        <w:t>nificantly reduced</w:t>
      </w:r>
      <w:r>
        <w:rPr>
          <w:sz w:val="22"/>
          <w:szCs w:val="22"/>
        </w:rPr>
        <w:t xml:space="preserve">; </w:t>
      </w:r>
      <w:r w:rsidR="00887F13">
        <w:rPr>
          <w:sz w:val="22"/>
          <w:szCs w:val="22"/>
        </w:rPr>
        <w:t>SO</w:t>
      </w:r>
      <w:r w:rsidR="00A01222" w:rsidRPr="00A01222">
        <w:rPr>
          <w:sz w:val="22"/>
          <w:szCs w:val="22"/>
          <w:vertAlign w:val="subscript"/>
        </w:rPr>
        <w:t>2</w:t>
      </w:r>
      <w:r>
        <w:rPr>
          <w:sz w:val="14"/>
          <w:szCs w:val="14"/>
        </w:rPr>
        <w:t xml:space="preserve"> </w:t>
      </w:r>
      <w:r w:rsidRPr="00372A77">
        <w:rPr>
          <w:sz w:val="22"/>
          <w:szCs w:val="22"/>
        </w:rPr>
        <w:t xml:space="preserve">and </w:t>
      </w:r>
      <w:r>
        <w:rPr>
          <w:sz w:val="22"/>
          <w:szCs w:val="22"/>
        </w:rPr>
        <w:t xml:space="preserve">HCl </w:t>
      </w:r>
      <w:r w:rsidR="00887F13">
        <w:rPr>
          <w:sz w:val="22"/>
          <w:szCs w:val="22"/>
        </w:rPr>
        <w:t xml:space="preserve">emissions </w:t>
      </w:r>
      <w:r>
        <w:rPr>
          <w:sz w:val="22"/>
          <w:szCs w:val="22"/>
        </w:rPr>
        <w:t>can</w:t>
      </w:r>
      <w:r w:rsidR="00887F13">
        <w:rPr>
          <w:sz w:val="22"/>
          <w:szCs w:val="22"/>
        </w:rPr>
        <w:t xml:space="preserve"> be </w:t>
      </w:r>
      <w:r w:rsidR="00D165BD">
        <w:rPr>
          <w:sz w:val="22"/>
          <w:szCs w:val="22"/>
        </w:rPr>
        <w:t>significantly reduced</w:t>
      </w:r>
      <w:r>
        <w:rPr>
          <w:sz w:val="22"/>
          <w:szCs w:val="22"/>
        </w:rPr>
        <w:t>; and al</w:t>
      </w:r>
      <w:r w:rsidR="00A7453E">
        <w:rPr>
          <w:sz w:val="22"/>
          <w:szCs w:val="22"/>
        </w:rPr>
        <w:t xml:space="preserve">l other pollutants </w:t>
      </w:r>
      <w:r>
        <w:rPr>
          <w:sz w:val="22"/>
          <w:szCs w:val="22"/>
        </w:rPr>
        <w:t>remained</w:t>
      </w:r>
      <w:r w:rsidR="00A7453E">
        <w:rPr>
          <w:sz w:val="22"/>
          <w:szCs w:val="22"/>
        </w:rPr>
        <w:t xml:space="preserve"> </w:t>
      </w:r>
      <w:r w:rsidR="00887F13">
        <w:rPr>
          <w:sz w:val="22"/>
          <w:szCs w:val="22"/>
        </w:rPr>
        <w:t>comparable to baseline levels</w:t>
      </w:r>
      <w:r>
        <w:rPr>
          <w:sz w:val="22"/>
          <w:szCs w:val="22"/>
        </w:rPr>
        <w:t xml:space="preserve"> when injecting a single sorbent or a combination of sorbents.</w:t>
      </w:r>
    </w:p>
    <w:p w:rsidR="006F5AD3" w:rsidRDefault="006F5AD3" w:rsidP="006F5AD3">
      <w:pPr>
        <w:pStyle w:val="ListParagraph"/>
        <w:numPr>
          <w:ilvl w:val="0"/>
          <w:numId w:val="11"/>
        </w:numPr>
        <w:spacing w:after="120"/>
        <w:ind w:left="540" w:hanging="540"/>
        <w:contextualSpacing w:val="0"/>
        <w:rPr>
          <w:b/>
          <w:caps/>
          <w:sz w:val="22"/>
        </w:rPr>
      </w:pPr>
      <w:r w:rsidRPr="0012634A">
        <w:rPr>
          <w:b/>
          <w:caps/>
          <w:sz w:val="22"/>
        </w:rPr>
        <w:t>Preliminary Determination</w:t>
      </w:r>
    </w:p>
    <w:p w:rsidR="000869C2" w:rsidRDefault="004D335D" w:rsidP="000869C2">
      <w:pPr>
        <w:pStyle w:val="Default"/>
        <w:spacing w:after="120"/>
        <w:rPr>
          <w:sz w:val="22"/>
          <w:szCs w:val="22"/>
        </w:rPr>
      </w:pPr>
      <w:r>
        <w:rPr>
          <w:sz w:val="22"/>
          <w:szCs w:val="22"/>
        </w:rPr>
        <w:t xml:space="preserve">The requested test program will allow units 1 and 2 to inject hydrated lime, Trona, and activated carbon sorbents to </w:t>
      </w:r>
      <w:r w:rsidR="00C54F6E">
        <w:rPr>
          <w:sz w:val="22"/>
          <w:szCs w:val="22"/>
        </w:rPr>
        <w:t xml:space="preserve">evaluate engineering and design improvements in order to </w:t>
      </w:r>
      <w:r>
        <w:rPr>
          <w:sz w:val="22"/>
          <w:szCs w:val="22"/>
        </w:rPr>
        <w:t xml:space="preserve">determine </w:t>
      </w:r>
      <w:r w:rsidR="00C54F6E">
        <w:rPr>
          <w:sz w:val="22"/>
          <w:szCs w:val="22"/>
        </w:rPr>
        <w:t xml:space="preserve">long term operational impacts and feasibility.  </w:t>
      </w:r>
      <w:r w:rsidR="000869C2" w:rsidRPr="0012634A">
        <w:rPr>
          <w:sz w:val="22"/>
        </w:rPr>
        <w:t xml:space="preserve">No air quality modeling analysis </w:t>
      </w:r>
      <w:r w:rsidR="000869C2">
        <w:rPr>
          <w:sz w:val="22"/>
        </w:rPr>
        <w:t>was</w:t>
      </w:r>
      <w:r w:rsidR="000869C2" w:rsidRPr="0012634A">
        <w:rPr>
          <w:sz w:val="22"/>
        </w:rPr>
        <w:t xml:space="preserve"> required because the project does not result in a signi</w:t>
      </w:r>
      <w:r w:rsidR="000869C2">
        <w:rPr>
          <w:sz w:val="22"/>
        </w:rPr>
        <w:t xml:space="preserve">ficant increase in emissions.  After reviewing the test data submitted as required by permit No. 0050014-023-AC, </w:t>
      </w:r>
      <w:r w:rsidR="000869C2">
        <w:rPr>
          <w:sz w:val="22"/>
          <w:szCs w:val="22"/>
        </w:rPr>
        <w:t>it has been demonstrated t</w:t>
      </w:r>
      <w:r w:rsidR="000869C2" w:rsidRPr="00372A77">
        <w:rPr>
          <w:sz w:val="22"/>
          <w:szCs w:val="22"/>
        </w:rPr>
        <w:t>he</w:t>
      </w:r>
      <w:r w:rsidR="000869C2">
        <w:rPr>
          <w:sz w:val="22"/>
          <w:szCs w:val="22"/>
        </w:rPr>
        <w:t>se</w:t>
      </w:r>
      <w:r w:rsidR="000869C2" w:rsidRPr="00372A77">
        <w:rPr>
          <w:sz w:val="22"/>
          <w:szCs w:val="22"/>
        </w:rPr>
        <w:t xml:space="preserve"> units have sufficient control equipment to ensure that PSD </w:t>
      </w:r>
      <w:r w:rsidR="000869C2">
        <w:rPr>
          <w:sz w:val="22"/>
          <w:szCs w:val="22"/>
        </w:rPr>
        <w:t>could not possibly be triggered</w:t>
      </w:r>
      <w:r w:rsidR="000869C2" w:rsidRPr="005815B9">
        <w:rPr>
          <w:sz w:val="22"/>
          <w:szCs w:val="22"/>
        </w:rPr>
        <w:t xml:space="preserve">.  The Department has reasonable assurance that the engineering and design improvement study to determine a final compliance strategy to meet the BART and MATS air quality reduction goals will not discharge, emit, or cause pollution in contravention of </w:t>
      </w:r>
      <w:r w:rsidR="000869C2">
        <w:rPr>
          <w:sz w:val="22"/>
          <w:szCs w:val="22"/>
        </w:rPr>
        <w:t>Department standards or rules.</w:t>
      </w:r>
    </w:p>
    <w:p w:rsidR="008E145E" w:rsidRPr="000869C2" w:rsidRDefault="00193F10" w:rsidP="000869C2">
      <w:pPr>
        <w:pStyle w:val="Default"/>
        <w:spacing w:after="120"/>
        <w:rPr>
          <w:sz w:val="22"/>
          <w:szCs w:val="22"/>
          <w:highlight w:val="yellow"/>
        </w:rPr>
      </w:pPr>
      <w:r w:rsidRPr="0012634A">
        <w:rPr>
          <w:sz w:val="22"/>
        </w:rPr>
        <w:t xml:space="preserve">The Department makes a preliminary determination that the proposed </w:t>
      </w:r>
      <w:r w:rsidR="000869C2">
        <w:rPr>
          <w:sz w:val="22"/>
        </w:rPr>
        <w:t xml:space="preserve">engineering and design improvement </w:t>
      </w:r>
      <w:r w:rsidRPr="0012634A">
        <w:rPr>
          <w:sz w:val="22"/>
        </w:rPr>
        <w:t xml:space="preserve">project </w:t>
      </w:r>
      <w:r w:rsidR="00237D5C">
        <w:rPr>
          <w:sz w:val="22"/>
        </w:rPr>
        <w:t>to reduce SO</w:t>
      </w:r>
      <w:r w:rsidR="00237D5C" w:rsidRPr="00237D5C">
        <w:rPr>
          <w:sz w:val="22"/>
          <w:vertAlign w:val="subscript"/>
        </w:rPr>
        <w:t>2</w:t>
      </w:r>
      <w:r w:rsidR="005A30E8" w:rsidRPr="005A30E8">
        <w:rPr>
          <w:sz w:val="22"/>
        </w:rPr>
        <w:t>,</w:t>
      </w:r>
      <w:r w:rsidR="005A30E8">
        <w:rPr>
          <w:sz w:val="22"/>
          <w:vertAlign w:val="subscript"/>
        </w:rPr>
        <w:t xml:space="preserve"> </w:t>
      </w:r>
      <w:r w:rsidR="005A30E8" w:rsidRPr="005A30E8">
        <w:rPr>
          <w:sz w:val="22"/>
        </w:rPr>
        <w:t>acid gases</w:t>
      </w:r>
      <w:r w:rsidR="005A30E8">
        <w:rPr>
          <w:sz w:val="22"/>
        </w:rPr>
        <w:t>,</w:t>
      </w:r>
      <w:r w:rsidR="005A30E8" w:rsidRPr="005A30E8">
        <w:rPr>
          <w:sz w:val="22"/>
        </w:rPr>
        <w:t xml:space="preserve"> and mercury</w:t>
      </w:r>
      <w:r w:rsidR="00237D5C">
        <w:rPr>
          <w:sz w:val="22"/>
        </w:rPr>
        <w:t xml:space="preserve"> emissions </w:t>
      </w:r>
      <w:r w:rsidRPr="0012634A">
        <w:rPr>
          <w:sz w:val="22"/>
        </w:rPr>
        <w:t xml:space="preserve">will comply with </w:t>
      </w:r>
      <w:r w:rsidR="00237D5C">
        <w:rPr>
          <w:sz w:val="22"/>
        </w:rPr>
        <w:t xml:space="preserve">presently </w:t>
      </w:r>
      <w:r w:rsidRPr="0012634A">
        <w:rPr>
          <w:sz w:val="22"/>
        </w:rPr>
        <w:t xml:space="preserve">applicable state and federal air pollution regulations as conditioned by the draft permit.  This determination is based on a technical review of the application, reasonable assurances provided by the applicant, </w:t>
      </w:r>
      <w:r w:rsidR="000869C2">
        <w:rPr>
          <w:sz w:val="22"/>
        </w:rPr>
        <w:t xml:space="preserve">test data, </w:t>
      </w:r>
      <w:r w:rsidRPr="0012634A">
        <w:rPr>
          <w:sz w:val="22"/>
        </w:rPr>
        <w:t xml:space="preserve">and the conditions specified in the draft permit.  </w:t>
      </w:r>
      <w:r w:rsidR="00E81AAC" w:rsidRPr="0012634A">
        <w:rPr>
          <w:sz w:val="22"/>
        </w:rPr>
        <w:t xml:space="preserve">Leigh-Ann Pell is the project engineer responsible for reviewing the application and drafting the permit.  </w:t>
      </w:r>
      <w:r w:rsidRPr="0012634A">
        <w:rPr>
          <w:sz w:val="22"/>
        </w:rPr>
        <w:t xml:space="preserve">Additional details of this analysis may be obtained by contacting the project engineer at </w:t>
      </w:r>
      <w:hyperlink r:id="rId12" w:history="1">
        <w:r w:rsidR="00E81AAC" w:rsidRPr="008559AC">
          <w:rPr>
            <w:rStyle w:val="Hyperlink"/>
            <w:sz w:val="22"/>
          </w:rPr>
          <w:t>leigh.pell@dep.state.fl.us</w:t>
        </w:r>
      </w:hyperlink>
      <w:r w:rsidR="00E81AAC">
        <w:rPr>
          <w:sz w:val="22"/>
        </w:rPr>
        <w:t xml:space="preserve"> , 850/717-9033, or </w:t>
      </w:r>
      <w:r w:rsidRPr="0012634A">
        <w:rPr>
          <w:sz w:val="22"/>
        </w:rPr>
        <w:t xml:space="preserve">the Department’s </w:t>
      </w:r>
      <w:r w:rsidR="009F6095" w:rsidRPr="0012634A">
        <w:rPr>
          <w:sz w:val="22"/>
        </w:rPr>
        <w:t>Office of Permitting and Compliance</w:t>
      </w:r>
      <w:r w:rsidR="00E81AAC">
        <w:rPr>
          <w:sz w:val="22"/>
        </w:rPr>
        <w:t xml:space="preserve">, </w:t>
      </w:r>
      <w:r w:rsidRPr="0012634A">
        <w:rPr>
          <w:sz w:val="22"/>
        </w:rPr>
        <w:t>Mail Station #5505, 2600 Blair Stone Road, Tallahassee, Florida  32399-2400.</w:t>
      </w:r>
    </w:p>
    <w:sectPr w:rsidR="008E145E" w:rsidRPr="000869C2" w:rsidSect="008E145E">
      <w:headerReference w:type="default" r:id="rId13"/>
      <w:footerReference w:type="default" r:id="rId14"/>
      <w:headerReference w:type="first" r:id="rId15"/>
      <w:footerReference w:type="first" r:id="rId16"/>
      <w:pgSz w:w="12240" w:h="15840" w:code="1"/>
      <w:pgMar w:top="1080" w:right="1440" w:bottom="1440" w:left="1440" w:header="540" w:footer="470" w:gutter="0"/>
      <w:paperSrc w:first="15" w:other="1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F6E" w:rsidRDefault="00C54F6E">
      <w:r>
        <w:separator/>
      </w:r>
    </w:p>
  </w:endnote>
  <w:endnote w:type="continuationSeparator" w:id="0">
    <w:p w:rsidR="00C54F6E" w:rsidRDefault="00C54F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F6E" w:rsidRPr="00077826" w:rsidRDefault="00C54F6E" w:rsidP="00AA15A3">
    <w:pPr>
      <w:pBdr>
        <w:top w:val="single" w:sz="8" w:space="1" w:color="auto"/>
      </w:pBdr>
      <w:tabs>
        <w:tab w:val="right" w:pos="9360"/>
      </w:tabs>
      <w:spacing w:before="240"/>
      <w:rPr>
        <w:rStyle w:val="PageNumber"/>
      </w:rPr>
    </w:pPr>
    <w:r>
      <w:rPr>
        <w:rStyle w:val="PageNumber"/>
      </w:rPr>
      <w:t>Gulf Power Company</w:t>
    </w:r>
    <w:r w:rsidRPr="00077826">
      <w:rPr>
        <w:rStyle w:val="PageNumber"/>
        <w:color w:val="FF0000"/>
      </w:rPr>
      <w:tab/>
    </w:r>
    <w:r>
      <w:rPr>
        <w:rStyle w:val="PageNumber"/>
      </w:rPr>
      <w:t>Air Permit No.0050014-024-</w:t>
    </w:r>
    <w:r w:rsidRPr="00220186">
      <w:rPr>
        <w:rStyle w:val="PageNumber"/>
      </w:rPr>
      <w:t>AC</w:t>
    </w:r>
  </w:p>
  <w:p w:rsidR="00C54F6E" w:rsidRPr="00144AC9" w:rsidRDefault="00C54F6E" w:rsidP="00AA15A3">
    <w:pPr>
      <w:tabs>
        <w:tab w:val="right" w:pos="9360"/>
      </w:tabs>
      <w:rPr>
        <w:rStyle w:val="PageNumber"/>
      </w:rPr>
    </w:pPr>
    <w:r>
      <w:rPr>
        <w:rStyle w:val="PageNumber"/>
      </w:rPr>
      <w:t>Lansing Smith Generating Plant,</w:t>
    </w:r>
    <w:r w:rsidRPr="00144AC9">
      <w:rPr>
        <w:rStyle w:val="PageNumber"/>
      </w:rPr>
      <w:t xml:space="preserve"> </w:t>
    </w:r>
    <w:r>
      <w:rPr>
        <w:rStyle w:val="PageNumber"/>
      </w:rPr>
      <w:t>Units</w:t>
    </w:r>
    <w:r w:rsidRPr="00144AC9">
      <w:rPr>
        <w:rStyle w:val="PageNumber"/>
      </w:rPr>
      <w:t xml:space="preserve"> 1 and 2</w:t>
    </w:r>
    <w:r w:rsidRPr="00144AC9">
      <w:rPr>
        <w:rStyle w:val="PageNumber"/>
      </w:rPr>
      <w:tab/>
    </w:r>
    <w:r>
      <w:rPr>
        <w:rStyle w:val="PageNumber"/>
      </w:rPr>
      <w:t xml:space="preserve">Test Burn/Post combustion </w:t>
    </w:r>
    <w:r w:rsidRPr="00144AC9">
      <w:rPr>
        <w:rStyle w:val="PageNumber"/>
      </w:rPr>
      <w:t>Control</w:t>
    </w:r>
    <w:r>
      <w:rPr>
        <w:rStyle w:val="PageNumber"/>
      </w:rPr>
      <w:t>s</w:t>
    </w:r>
  </w:p>
  <w:p w:rsidR="00C54F6E" w:rsidRDefault="00C54F6E">
    <w:pPr>
      <w:pStyle w:val="Footer"/>
      <w:tabs>
        <w:tab w:val="clear" w:pos="4320"/>
        <w:tab w:val="clear" w:pos="8640"/>
      </w:tabs>
      <w:jc w:val="center"/>
    </w:pPr>
    <w:r>
      <w:rPr>
        <w:rStyle w:val="PageNumber"/>
      </w:rPr>
      <w:t xml:space="preserve">Page </w:t>
    </w:r>
    <w:r w:rsidR="00614D11">
      <w:rPr>
        <w:rStyle w:val="PageNumber"/>
      </w:rPr>
      <w:fldChar w:fldCharType="begin"/>
    </w:r>
    <w:r>
      <w:rPr>
        <w:rStyle w:val="PageNumber"/>
      </w:rPr>
      <w:instrText xml:space="preserve"> PAGE </w:instrText>
    </w:r>
    <w:r w:rsidR="00614D11">
      <w:rPr>
        <w:rStyle w:val="PageNumber"/>
      </w:rPr>
      <w:fldChar w:fldCharType="separate"/>
    </w:r>
    <w:r w:rsidR="009839F4">
      <w:rPr>
        <w:rStyle w:val="PageNumber"/>
        <w:noProof/>
      </w:rPr>
      <w:t>6</w:t>
    </w:r>
    <w:r w:rsidR="00614D11">
      <w:rPr>
        <w:rStyle w:val="PageNumber"/>
      </w:rPr>
      <w:fldChar w:fldCharType="end"/>
    </w:r>
    <w:r>
      <w:rPr>
        <w:rStyle w:val="PageNumber"/>
      </w:rPr>
      <w:t xml:space="preserve"> of </w:t>
    </w:r>
    <w:r w:rsidR="00614D11">
      <w:rPr>
        <w:rStyle w:val="PageNumber"/>
      </w:rPr>
      <w:fldChar w:fldCharType="begin"/>
    </w:r>
    <w:r>
      <w:rPr>
        <w:rStyle w:val="PageNumber"/>
      </w:rPr>
      <w:instrText xml:space="preserve"> NUMPAGES </w:instrText>
    </w:r>
    <w:r w:rsidR="00614D11">
      <w:rPr>
        <w:rStyle w:val="PageNumber"/>
      </w:rPr>
      <w:fldChar w:fldCharType="separate"/>
    </w:r>
    <w:r w:rsidR="009839F4">
      <w:rPr>
        <w:rStyle w:val="PageNumber"/>
        <w:noProof/>
      </w:rPr>
      <w:t>7</w:t>
    </w:r>
    <w:r w:rsidR="00614D11">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F6E" w:rsidRDefault="00C54F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F6E" w:rsidRDefault="00C54F6E">
      <w:r>
        <w:separator/>
      </w:r>
    </w:p>
  </w:footnote>
  <w:footnote w:type="continuationSeparator" w:id="0">
    <w:p w:rsidR="00C54F6E" w:rsidRDefault="00C54F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F6E" w:rsidRDefault="00C54F6E">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F6E" w:rsidRDefault="00C54F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9FA205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B009D0"/>
    <w:multiLevelType w:val="hybridMultilevel"/>
    <w:tmpl w:val="A5CA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124F9"/>
    <w:multiLevelType w:val="hybridMultilevel"/>
    <w:tmpl w:val="49DE4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B91F1F"/>
    <w:multiLevelType w:val="multilevel"/>
    <w:tmpl w:val="4DB21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374764"/>
    <w:multiLevelType w:val="multilevel"/>
    <w:tmpl w:val="9780AA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BAA5407"/>
    <w:multiLevelType w:val="hybridMultilevel"/>
    <w:tmpl w:val="B63EE402"/>
    <w:lvl w:ilvl="0" w:tplc="C452385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CD304ADA">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50F1F63"/>
    <w:multiLevelType w:val="hybridMultilevel"/>
    <w:tmpl w:val="7E8E8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F613E4"/>
    <w:multiLevelType w:val="multilevel"/>
    <w:tmpl w:val="4DF4DD84"/>
    <w:lvl w:ilvl="0">
      <w:start w:val="1"/>
      <w:numFmt w:val="decimal"/>
      <w:lvlText w:val="%1."/>
      <w:lvlJc w:val="left"/>
      <w:pPr>
        <w:ind w:left="360" w:hanging="360"/>
      </w:pPr>
      <w:rPr>
        <w:rFonts w:hint="default"/>
      </w:r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2F012CE"/>
    <w:multiLevelType w:val="hybridMultilevel"/>
    <w:tmpl w:val="5E9E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9D5465"/>
    <w:multiLevelType w:val="hybridMultilevel"/>
    <w:tmpl w:val="DF5C5890"/>
    <w:lvl w:ilvl="0" w:tplc="F0929B22">
      <w:start w:val="6"/>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580E70"/>
    <w:multiLevelType w:val="hybridMultilevel"/>
    <w:tmpl w:val="285A8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2D6A70"/>
    <w:multiLevelType w:val="multilevel"/>
    <w:tmpl w:val="324A93E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3E341DD"/>
    <w:multiLevelType w:val="hybridMultilevel"/>
    <w:tmpl w:val="1382E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D73861"/>
    <w:multiLevelType w:val="hybridMultilevel"/>
    <w:tmpl w:val="594AC7DC"/>
    <w:lvl w:ilvl="0" w:tplc="C3C4DDD6">
      <w:start w:val="2"/>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0B5C8F"/>
    <w:multiLevelType w:val="hybridMultilevel"/>
    <w:tmpl w:val="53901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C0F0BD9"/>
    <w:multiLevelType w:val="hybridMultilevel"/>
    <w:tmpl w:val="74FA0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C1319C"/>
    <w:multiLevelType w:val="hybridMultilevel"/>
    <w:tmpl w:val="06A41748"/>
    <w:lvl w:ilvl="0" w:tplc="801C2268">
      <w:start w:val="1"/>
      <w:numFmt w:val="decimal"/>
      <w:lvlText w:val="%1."/>
      <w:lvlJc w:val="left"/>
      <w:pPr>
        <w:tabs>
          <w:tab w:val="num" w:pos="1080"/>
        </w:tabs>
        <w:ind w:left="108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num>
  <w:num w:numId="2">
    <w:abstractNumId w:val="18"/>
  </w:num>
  <w:num w:numId="3">
    <w:abstractNumId w:val="0"/>
  </w:num>
  <w:num w:numId="4">
    <w:abstractNumId w:val="6"/>
  </w:num>
  <w:num w:numId="5">
    <w:abstractNumId w:val="8"/>
  </w:num>
  <w:num w:numId="6">
    <w:abstractNumId w:val="4"/>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9"/>
  </w:num>
  <w:num w:numId="11">
    <w:abstractNumId w:val="10"/>
  </w:num>
  <w:num w:numId="12">
    <w:abstractNumId w:val="19"/>
  </w:num>
  <w:num w:numId="13">
    <w:abstractNumId w:val="5"/>
  </w:num>
  <w:num w:numId="14">
    <w:abstractNumId w:val="15"/>
  </w:num>
  <w:num w:numId="15">
    <w:abstractNumId w:val="3"/>
  </w:num>
  <w:num w:numId="16">
    <w:abstractNumId w:val="11"/>
  </w:num>
  <w:num w:numId="17">
    <w:abstractNumId w:val="12"/>
  </w:num>
  <w:num w:numId="18">
    <w:abstractNumId w:val="16"/>
  </w:num>
  <w:num w:numId="19">
    <w:abstractNumId w:val="14"/>
  </w:num>
  <w:num w:numId="20">
    <w:abstractNumId w:val="2"/>
  </w:num>
  <w:num w:numId="21">
    <w:abstractNumId w:val="13"/>
  </w:num>
  <w:num w:numId="2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92161"/>
  </w:hdrShapeDefaults>
  <w:footnotePr>
    <w:footnote w:id="-1"/>
    <w:footnote w:id="0"/>
  </w:footnotePr>
  <w:endnotePr>
    <w:endnote w:id="-1"/>
    <w:endnote w:id="0"/>
  </w:endnotePr>
  <w:compat/>
  <w:rsids>
    <w:rsidRoot w:val="00193F10"/>
    <w:rsid w:val="00003C95"/>
    <w:rsid w:val="000165B0"/>
    <w:rsid w:val="00026EF9"/>
    <w:rsid w:val="00034CE9"/>
    <w:rsid w:val="000425D6"/>
    <w:rsid w:val="00047BC1"/>
    <w:rsid w:val="000622EE"/>
    <w:rsid w:val="0006798F"/>
    <w:rsid w:val="00083A0D"/>
    <w:rsid w:val="00086265"/>
    <w:rsid w:val="000869C2"/>
    <w:rsid w:val="000A1935"/>
    <w:rsid w:val="000B3948"/>
    <w:rsid w:val="000B4B28"/>
    <w:rsid w:val="000B7E82"/>
    <w:rsid w:val="000C3DCF"/>
    <w:rsid w:val="000C5143"/>
    <w:rsid w:val="000D3F50"/>
    <w:rsid w:val="000E42D3"/>
    <w:rsid w:val="000F0931"/>
    <w:rsid w:val="00107B1D"/>
    <w:rsid w:val="00111453"/>
    <w:rsid w:val="0012634A"/>
    <w:rsid w:val="00140CD4"/>
    <w:rsid w:val="00160267"/>
    <w:rsid w:val="0016699F"/>
    <w:rsid w:val="00176A8B"/>
    <w:rsid w:val="001771DC"/>
    <w:rsid w:val="00193F10"/>
    <w:rsid w:val="00194AA6"/>
    <w:rsid w:val="001B7F37"/>
    <w:rsid w:val="001C4E37"/>
    <w:rsid w:val="001C7BC7"/>
    <w:rsid w:val="001D1649"/>
    <w:rsid w:val="001D487F"/>
    <w:rsid w:val="001E0E7F"/>
    <w:rsid w:val="001E2CD6"/>
    <w:rsid w:val="001F1F22"/>
    <w:rsid w:val="001F58E1"/>
    <w:rsid w:val="00201860"/>
    <w:rsid w:val="00204A30"/>
    <w:rsid w:val="002225DD"/>
    <w:rsid w:val="00237D5C"/>
    <w:rsid w:val="00244B0F"/>
    <w:rsid w:val="00246E68"/>
    <w:rsid w:val="00286152"/>
    <w:rsid w:val="00291D1B"/>
    <w:rsid w:val="002A28C2"/>
    <w:rsid w:val="002B7730"/>
    <w:rsid w:val="002C2858"/>
    <w:rsid w:val="002D419E"/>
    <w:rsid w:val="002F0E6E"/>
    <w:rsid w:val="002F5471"/>
    <w:rsid w:val="002F75E4"/>
    <w:rsid w:val="00302267"/>
    <w:rsid w:val="00312095"/>
    <w:rsid w:val="0033363A"/>
    <w:rsid w:val="00340C78"/>
    <w:rsid w:val="00346552"/>
    <w:rsid w:val="00353355"/>
    <w:rsid w:val="00362B27"/>
    <w:rsid w:val="00372229"/>
    <w:rsid w:val="00372A77"/>
    <w:rsid w:val="003858DE"/>
    <w:rsid w:val="0039482F"/>
    <w:rsid w:val="003A1812"/>
    <w:rsid w:val="003A3C29"/>
    <w:rsid w:val="003A3C8A"/>
    <w:rsid w:val="003B1E0A"/>
    <w:rsid w:val="003B64E3"/>
    <w:rsid w:val="003D130F"/>
    <w:rsid w:val="003D1DA4"/>
    <w:rsid w:val="003D23F0"/>
    <w:rsid w:val="003D3FC7"/>
    <w:rsid w:val="003D5323"/>
    <w:rsid w:val="003E39C2"/>
    <w:rsid w:val="003E683A"/>
    <w:rsid w:val="003F1AFB"/>
    <w:rsid w:val="0040283C"/>
    <w:rsid w:val="00417279"/>
    <w:rsid w:val="0043123B"/>
    <w:rsid w:val="00431A39"/>
    <w:rsid w:val="004414F2"/>
    <w:rsid w:val="00445254"/>
    <w:rsid w:val="00445CCE"/>
    <w:rsid w:val="00446FE7"/>
    <w:rsid w:val="0046188C"/>
    <w:rsid w:val="00461B52"/>
    <w:rsid w:val="004655D3"/>
    <w:rsid w:val="00474DF9"/>
    <w:rsid w:val="00493648"/>
    <w:rsid w:val="004B5185"/>
    <w:rsid w:val="004B5203"/>
    <w:rsid w:val="004C0984"/>
    <w:rsid w:val="004D1D9F"/>
    <w:rsid w:val="004D335D"/>
    <w:rsid w:val="004E48C8"/>
    <w:rsid w:val="004F25D2"/>
    <w:rsid w:val="00501770"/>
    <w:rsid w:val="005033E8"/>
    <w:rsid w:val="00516F04"/>
    <w:rsid w:val="005275B9"/>
    <w:rsid w:val="00534E83"/>
    <w:rsid w:val="005353C4"/>
    <w:rsid w:val="005574D6"/>
    <w:rsid w:val="00560E72"/>
    <w:rsid w:val="005815B9"/>
    <w:rsid w:val="005A2573"/>
    <w:rsid w:val="005A30E8"/>
    <w:rsid w:val="005C18DF"/>
    <w:rsid w:val="005D11DD"/>
    <w:rsid w:val="005D4089"/>
    <w:rsid w:val="005E36E4"/>
    <w:rsid w:val="00614D11"/>
    <w:rsid w:val="00617209"/>
    <w:rsid w:val="0065214A"/>
    <w:rsid w:val="00655DE5"/>
    <w:rsid w:val="0066044B"/>
    <w:rsid w:val="006637B8"/>
    <w:rsid w:val="00675385"/>
    <w:rsid w:val="00680A00"/>
    <w:rsid w:val="00684184"/>
    <w:rsid w:val="00686486"/>
    <w:rsid w:val="00693DEA"/>
    <w:rsid w:val="006A66E9"/>
    <w:rsid w:val="006B260F"/>
    <w:rsid w:val="006B35DC"/>
    <w:rsid w:val="006B6EFE"/>
    <w:rsid w:val="006F5AD3"/>
    <w:rsid w:val="00701FEF"/>
    <w:rsid w:val="00702EDC"/>
    <w:rsid w:val="007254C3"/>
    <w:rsid w:val="00741F1A"/>
    <w:rsid w:val="0075557E"/>
    <w:rsid w:val="00762E18"/>
    <w:rsid w:val="007747AA"/>
    <w:rsid w:val="00782ABD"/>
    <w:rsid w:val="00786837"/>
    <w:rsid w:val="00787B5D"/>
    <w:rsid w:val="007A015B"/>
    <w:rsid w:val="007B2E6D"/>
    <w:rsid w:val="007B4FDB"/>
    <w:rsid w:val="007B501B"/>
    <w:rsid w:val="007E0A97"/>
    <w:rsid w:val="007E5CA3"/>
    <w:rsid w:val="007F1CFB"/>
    <w:rsid w:val="007F441B"/>
    <w:rsid w:val="007F7B7E"/>
    <w:rsid w:val="00810A6B"/>
    <w:rsid w:val="008119D8"/>
    <w:rsid w:val="0081608A"/>
    <w:rsid w:val="008168C4"/>
    <w:rsid w:val="00831026"/>
    <w:rsid w:val="00835018"/>
    <w:rsid w:val="00850561"/>
    <w:rsid w:val="008523D6"/>
    <w:rsid w:val="008560BD"/>
    <w:rsid w:val="008603FF"/>
    <w:rsid w:val="008673D3"/>
    <w:rsid w:val="0087302D"/>
    <w:rsid w:val="008764A7"/>
    <w:rsid w:val="00887F13"/>
    <w:rsid w:val="008B4A59"/>
    <w:rsid w:val="008B55C1"/>
    <w:rsid w:val="008E0305"/>
    <w:rsid w:val="008E145E"/>
    <w:rsid w:val="008E370B"/>
    <w:rsid w:val="008F2134"/>
    <w:rsid w:val="00915A52"/>
    <w:rsid w:val="00915F63"/>
    <w:rsid w:val="00916CC2"/>
    <w:rsid w:val="00916D32"/>
    <w:rsid w:val="0091730B"/>
    <w:rsid w:val="0093238E"/>
    <w:rsid w:val="00945809"/>
    <w:rsid w:val="00955781"/>
    <w:rsid w:val="009577C4"/>
    <w:rsid w:val="009839F4"/>
    <w:rsid w:val="00983DF1"/>
    <w:rsid w:val="00984662"/>
    <w:rsid w:val="009A0F13"/>
    <w:rsid w:val="009A13AC"/>
    <w:rsid w:val="009B2B6D"/>
    <w:rsid w:val="009B32D2"/>
    <w:rsid w:val="009E1175"/>
    <w:rsid w:val="009E51EE"/>
    <w:rsid w:val="009F6095"/>
    <w:rsid w:val="00A01222"/>
    <w:rsid w:val="00A036B3"/>
    <w:rsid w:val="00A1098D"/>
    <w:rsid w:val="00A109FB"/>
    <w:rsid w:val="00A342E0"/>
    <w:rsid w:val="00A352E6"/>
    <w:rsid w:val="00A4584E"/>
    <w:rsid w:val="00A7453E"/>
    <w:rsid w:val="00A7693D"/>
    <w:rsid w:val="00A86ABD"/>
    <w:rsid w:val="00A938D5"/>
    <w:rsid w:val="00A93965"/>
    <w:rsid w:val="00A948F3"/>
    <w:rsid w:val="00AA15A3"/>
    <w:rsid w:val="00AA33AB"/>
    <w:rsid w:val="00AD2994"/>
    <w:rsid w:val="00AE0AAB"/>
    <w:rsid w:val="00AE6A7A"/>
    <w:rsid w:val="00AF491D"/>
    <w:rsid w:val="00B00FB3"/>
    <w:rsid w:val="00B040DB"/>
    <w:rsid w:val="00B103DE"/>
    <w:rsid w:val="00B137D7"/>
    <w:rsid w:val="00B13F11"/>
    <w:rsid w:val="00B17F61"/>
    <w:rsid w:val="00B2249F"/>
    <w:rsid w:val="00B238FE"/>
    <w:rsid w:val="00B25D97"/>
    <w:rsid w:val="00B444AF"/>
    <w:rsid w:val="00B461F5"/>
    <w:rsid w:val="00B539F6"/>
    <w:rsid w:val="00B53F5D"/>
    <w:rsid w:val="00B63340"/>
    <w:rsid w:val="00B633B4"/>
    <w:rsid w:val="00B7612C"/>
    <w:rsid w:val="00B95498"/>
    <w:rsid w:val="00B97B03"/>
    <w:rsid w:val="00BA6A47"/>
    <w:rsid w:val="00BB1087"/>
    <w:rsid w:val="00BC3FFB"/>
    <w:rsid w:val="00BC5729"/>
    <w:rsid w:val="00BD2E90"/>
    <w:rsid w:val="00BD4708"/>
    <w:rsid w:val="00BE0F0E"/>
    <w:rsid w:val="00C02BEB"/>
    <w:rsid w:val="00C06C6D"/>
    <w:rsid w:val="00C23454"/>
    <w:rsid w:val="00C502D1"/>
    <w:rsid w:val="00C5468A"/>
    <w:rsid w:val="00C54F6E"/>
    <w:rsid w:val="00C636B0"/>
    <w:rsid w:val="00C64B89"/>
    <w:rsid w:val="00C65BC2"/>
    <w:rsid w:val="00C66E7D"/>
    <w:rsid w:val="00C7510F"/>
    <w:rsid w:val="00C90DCB"/>
    <w:rsid w:val="00C939C9"/>
    <w:rsid w:val="00CA6473"/>
    <w:rsid w:val="00CB1921"/>
    <w:rsid w:val="00CB2FE3"/>
    <w:rsid w:val="00CB358A"/>
    <w:rsid w:val="00CB5CD3"/>
    <w:rsid w:val="00CE742A"/>
    <w:rsid w:val="00D07B72"/>
    <w:rsid w:val="00D165BD"/>
    <w:rsid w:val="00D1773B"/>
    <w:rsid w:val="00D22B7E"/>
    <w:rsid w:val="00D24F36"/>
    <w:rsid w:val="00D262B1"/>
    <w:rsid w:val="00D36F8A"/>
    <w:rsid w:val="00D4398E"/>
    <w:rsid w:val="00D51D78"/>
    <w:rsid w:val="00D628A3"/>
    <w:rsid w:val="00D727AB"/>
    <w:rsid w:val="00D72833"/>
    <w:rsid w:val="00D80790"/>
    <w:rsid w:val="00D95A86"/>
    <w:rsid w:val="00DA4D8D"/>
    <w:rsid w:val="00DA5C99"/>
    <w:rsid w:val="00DB0AF0"/>
    <w:rsid w:val="00DB0CF3"/>
    <w:rsid w:val="00DB4E11"/>
    <w:rsid w:val="00DD549A"/>
    <w:rsid w:val="00DE099E"/>
    <w:rsid w:val="00E01A62"/>
    <w:rsid w:val="00E0338C"/>
    <w:rsid w:val="00E06730"/>
    <w:rsid w:val="00E25B9C"/>
    <w:rsid w:val="00E40F77"/>
    <w:rsid w:val="00E42819"/>
    <w:rsid w:val="00E4490C"/>
    <w:rsid w:val="00E50051"/>
    <w:rsid w:val="00E5292E"/>
    <w:rsid w:val="00E607EE"/>
    <w:rsid w:val="00E66BA0"/>
    <w:rsid w:val="00E773E3"/>
    <w:rsid w:val="00E81AAC"/>
    <w:rsid w:val="00E84B3B"/>
    <w:rsid w:val="00E86B86"/>
    <w:rsid w:val="00E95705"/>
    <w:rsid w:val="00EA4CF9"/>
    <w:rsid w:val="00EA5681"/>
    <w:rsid w:val="00EB4426"/>
    <w:rsid w:val="00EC344E"/>
    <w:rsid w:val="00EE0EB2"/>
    <w:rsid w:val="00EE6112"/>
    <w:rsid w:val="00EE76BA"/>
    <w:rsid w:val="00EF61DF"/>
    <w:rsid w:val="00F21AAE"/>
    <w:rsid w:val="00F409B9"/>
    <w:rsid w:val="00F71458"/>
    <w:rsid w:val="00F72082"/>
    <w:rsid w:val="00F73861"/>
    <w:rsid w:val="00F77D22"/>
    <w:rsid w:val="00F96BDA"/>
    <w:rsid w:val="00FB5CCB"/>
    <w:rsid w:val="00FD2AD3"/>
    <w:rsid w:val="00FD58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rules v:ext="edit">
        <o:r id="V:Rule3" type="connector" idref="#_x0000_s1029"/>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2229"/>
  </w:style>
  <w:style w:type="paragraph" w:styleId="Heading1">
    <w:name w:val="heading 1"/>
    <w:basedOn w:val="Normal"/>
    <w:next w:val="Normal"/>
    <w:qFormat/>
    <w:rsid w:val="00372229"/>
    <w:pPr>
      <w:keepNext/>
      <w:spacing w:after="120"/>
      <w:ind w:left="634"/>
      <w:outlineLvl w:val="0"/>
    </w:pPr>
    <w:rPr>
      <w:sz w:val="28"/>
    </w:rPr>
  </w:style>
  <w:style w:type="paragraph" w:styleId="Heading2">
    <w:name w:val="heading 2"/>
    <w:basedOn w:val="Normal"/>
    <w:next w:val="Normal"/>
    <w:qFormat/>
    <w:rsid w:val="00372229"/>
    <w:pPr>
      <w:keepNext/>
      <w:ind w:left="630"/>
      <w:outlineLvl w:val="1"/>
    </w:pPr>
    <w:rPr>
      <w:i/>
      <w:sz w:val="23"/>
    </w:rPr>
  </w:style>
  <w:style w:type="paragraph" w:styleId="Heading3">
    <w:name w:val="heading 3"/>
    <w:basedOn w:val="Normal"/>
    <w:next w:val="Normal"/>
    <w:qFormat/>
    <w:rsid w:val="00372229"/>
    <w:pPr>
      <w:keepNext/>
      <w:jc w:val="center"/>
      <w:outlineLvl w:val="2"/>
    </w:pPr>
    <w:rPr>
      <w:sz w:val="28"/>
    </w:rPr>
  </w:style>
  <w:style w:type="paragraph" w:styleId="Heading4">
    <w:name w:val="heading 4"/>
    <w:basedOn w:val="Normal"/>
    <w:next w:val="Normal"/>
    <w:qFormat/>
    <w:rsid w:val="00372229"/>
    <w:pPr>
      <w:keepNext/>
      <w:jc w:val="center"/>
      <w:outlineLvl w:val="3"/>
    </w:pPr>
    <w:rPr>
      <w:b/>
      <w:sz w:val="22"/>
    </w:rPr>
  </w:style>
  <w:style w:type="paragraph" w:styleId="Heading5">
    <w:name w:val="heading 5"/>
    <w:basedOn w:val="Normal"/>
    <w:next w:val="Normal"/>
    <w:qFormat/>
    <w:rsid w:val="00372229"/>
    <w:pPr>
      <w:keepNext/>
      <w:spacing w:after="120"/>
      <w:ind w:left="720"/>
      <w:outlineLvl w:val="4"/>
    </w:pPr>
    <w:rPr>
      <w:b/>
      <w:sz w:val="22"/>
    </w:rPr>
  </w:style>
  <w:style w:type="paragraph" w:styleId="Heading6">
    <w:name w:val="heading 6"/>
    <w:basedOn w:val="Normal"/>
    <w:next w:val="Normal"/>
    <w:qFormat/>
    <w:rsid w:val="00372229"/>
    <w:pPr>
      <w:keepNext/>
      <w:jc w:val="center"/>
      <w:outlineLvl w:val="5"/>
    </w:pPr>
    <w:rPr>
      <w:b/>
      <w:sz w:val="24"/>
    </w:rPr>
  </w:style>
  <w:style w:type="paragraph" w:styleId="Heading7">
    <w:name w:val="heading 7"/>
    <w:basedOn w:val="Normal"/>
    <w:next w:val="Normal"/>
    <w:qFormat/>
    <w:rsid w:val="00372229"/>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372229"/>
    <w:pPr>
      <w:keepNext/>
      <w:spacing w:after="120"/>
      <w:outlineLvl w:val="7"/>
    </w:pPr>
    <w:rPr>
      <w:b/>
      <w:caps/>
      <w:sz w:val="22"/>
    </w:rPr>
  </w:style>
  <w:style w:type="paragraph" w:styleId="Heading9">
    <w:name w:val="heading 9"/>
    <w:basedOn w:val="Normal"/>
    <w:next w:val="Normal"/>
    <w:qFormat/>
    <w:rsid w:val="00372229"/>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72229"/>
    <w:rPr>
      <w:vertAlign w:val="superscript"/>
    </w:rPr>
  </w:style>
  <w:style w:type="paragraph" w:styleId="Header">
    <w:name w:val="header"/>
    <w:basedOn w:val="Normal"/>
    <w:rsid w:val="00372229"/>
    <w:pPr>
      <w:tabs>
        <w:tab w:val="center" w:pos="4320"/>
        <w:tab w:val="right" w:pos="8640"/>
      </w:tabs>
    </w:pPr>
  </w:style>
  <w:style w:type="character" w:styleId="PageNumber">
    <w:name w:val="page number"/>
    <w:basedOn w:val="DefaultParagraphFont"/>
    <w:rsid w:val="00372229"/>
  </w:style>
  <w:style w:type="paragraph" w:styleId="Footer">
    <w:name w:val="footer"/>
    <w:basedOn w:val="Normal"/>
    <w:rsid w:val="00372229"/>
    <w:pPr>
      <w:tabs>
        <w:tab w:val="center" w:pos="4320"/>
        <w:tab w:val="right" w:pos="8640"/>
      </w:tabs>
    </w:pPr>
  </w:style>
  <w:style w:type="paragraph" w:styleId="BodyTextIndent">
    <w:name w:val="Body Text Indent"/>
    <w:basedOn w:val="Normal"/>
    <w:rsid w:val="00372229"/>
    <w:pPr>
      <w:spacing w:after="120"/>
      <w:ind w:left="634"/>
    </w:pPr>
    <w:rPr>
      <w:sz w:val="24"/>
    </w:rPr>
  </w:style>
  <w:style w:type="paragraph" w:styleId="BodyTextIndent2">
    <w:name w:val="Body Text Indent 2"/>
    <w:basedOn w:val="Normal"/>
    <w:rsid w:val="00372229"/>
    <w:pPr>
      <w:tabs>
        <w:tab w:val="left" w:pos="630"/>
      </w:tabs>
      <w:spacing w:after="120"/>
      <w:ind w:left="630"/>
    </w:pPr>
    <w:rPr>
      <w:sz w:val="24"/>
    </w:rPr>
  </w:style>
  <w:style w:type="paragraph" w:styleId="BodyTextIndent3">
    <w:name w:val="Body Text Indent 3"/>
    <w:basedOn w:val="Normal"/>
    <w:rsid w:val="00372229"/>
    <w:pPr>
      <w:spacing w:before="240" w:after="120"/>
      <w:ind w:left="634"/>
      <w:jc w:val="center"/>
    </w:pPr>
    <w:rPr>
      <w:caps/>
      <w:sz w:val="24"/>
    </w:rPr>
  </w:style>
  <w:style w:type="paragraph" w:styleId="BodyText2">
    <w:name w:val="Body Text 2"/>
    <w:basedOn w:val="Normal"/>
    <w:rsid w:val="00372229"/>
    <w:pPr>
      <w:numPr>
        <w:ilvl w:val="12"/>
      </w:numPr>
      <w:spacing w:after="120"/>
      <w:jc w:val="both"/>
    </w:pPr>
    <w:rPr>
      <w:sz w:val="22"/>
    </w:rPr>
  </w:style>
  <w:style w:type="paragraph" w:styleId="Title">
    <w:name w:val="Title"/>
    <w:basedOn w:val="Normal"/>
    <w:qFormat/>
    <w:rsid w:val="00372229"/>
    <w:pPr>
      <w:jc w:val="center"/>
    </w:pPr>
    <w:rPr>
      <w:b/>
      <w:sz w:val="24"/>
    </w:rPr>
  </w:style>
  <w:style w:type="paragraph" w:styleId="BodyText">
    <w:name w:val="Body Text"/>
    <w:aliases w:val="SCA Body Text,SCA Body Text1,SCA Body Text2,SCA Body Text11,BodyText-JEA,BT-JEA"/>
    <w:basedOn w:val="Normal"/>
    <w:link w:val="BodyTextChar"/>
    <w:rsid w:val="00372229"/>
    <w:pPr>
      <w:spacing w:after="120"/>
    </w:pPr>
    <w:rPr>
      <w:sz w:val="24"/>
    </w:rPr>
  </w:style>
  <w:style w:type="paragraph" w:styleId="BodyText3">
    <w:name w:val="Body Text 3"/>
    <w:basedOn w:val="Normal"/>
    <w:rsid w:val="00372229"/>
    <w:pPr>
      <w:spacing w:before="120" w:after="120"/>
    </w:pPr>
    <w:rPr>
      <w:sz w:val="22"/>
    </w:rPr>
  </w:style>
  <w:style w:type="paragraph" w:customStyle="1" w:styleId="Style4">
    <w:name w:val="Style4"/>
    <w:next w:val="Normal"/>
    <w:rsid w:val="00372229"/>
    <w:rPr>
      <w:noProof/>
      <w:sz w:val="24"/>
    </w:rPr>
  </w:style>
  <w:style w:type="paragraph" w:styleId="BlockText">
    <w:name w:val="Block Text"/>
    <w:basedOn w:val="Normal"/>
    <w:rsid w:val="00372229"/>
    <w:pPr>
      <w:spacing w:after="120"/>
      <w:ind w:left="720" w:right="43"/>
      <w:jc w:val="both"/>
    </w:pPr>
    <w:rPr>
      <w:sz w:val="22"/>
    </w:rPr>
  </w:style>
  <w:style w:type="character" w:styleId="Hyperlink">
    <w:name w:val="Hyperlink"/>
    <w:basedOn w:val="DefaultParagraphFont"/>
    <w:rsid w:val="00372229"/>
    <w:rPr>
      <w:color w:val="0000FF"/>
      <w:u w:val="single"/>
    </w:rPr>
  </w:style>
  <w:style w:type="paragraph" w:customStyle="1" w:styleId="SCATableHeading">
    <w:name w:val="SCA Table Heading"/>
    <w:basedOn w:val="Normal"/>
    <w:rsid w:val="00372229"/>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F96BDA"/>
    <w:rPr>
      <w:rFonts w:ascii="Tahoma" w:hAnsi="Tahoma" w:cs="Tahoma"/>
      <w:sz w:val="16"/>
      <w:szCs w:val="16"/>
    </w:rPr>
  </w:style>
  <w:style w:type="character" w:customStyle="1" w:styleId="BalloonTextChar">
    <w:name w:val="Balloon Text Char"/>
    <w:basedOn w:val="DefaultParagraphFont"/>
    <w:link w:val="BalloonText"/>
    <w:rsid w:val="00F96BDA"/>
    <w:rPr>
      <w:rFonts w:ascii="Tahoma" w:hAnsi="Tahoma" w:cs="Tahoma"/>
      <w:sz w:val="16"/>
      <w:szCs w:val="16"/>
    </w:rPr>
  </w:style>
  <w:style w:type="character" w:styleId="CommentReference">
    <w:name w:val="annotation reference"/>
    <w:basedOn w:val="DefaultParagraphFont"/>
    <w:rsid w:val="00C65BC2"/>
    <w:rPr>
      <w:sz w:val="16"/>
      <w:szCs w:val="16"/>
    </w:rPr>
  </w:style>
  <w:style w:type="paragraph" w:styleId="CommentText">
    <w:name w:val="annotation text"/>
    <w:basedOn w:val="Normal"/>
    <w:link w:val="CommentTextChar"/>
    <w:rsid w:val="00C65BC2"/>
  </w:style>
  <w:style w:type="character" w:customStyle="1" w:styleId="CommentTextChar">
    <w:name w:val="Comment Text Char"/>
    <w:basedOn w:val="DefaultParagraphFont"/>
    <w:link w:val="CommentText"/>
    <w:rsid w:val="00C65BC2"/>
  </w:style>
  <w:style w:type="paragraph" w:styleId="CommentSubject">
    <w:name w:val="annotation subject"/>
    <w:basedOn w:val="CommentText"/>
    <w:next w:val="CommentText"/>
    <w:link w:val="CommentSubjectChar"/>
    <w:rsid w:val="00C65BC2"/>
    <w:rPr>
      <w:b/>
      <w:bCs/>
    </w:rPr>
  </w:style>
  <w:style w:type="character" w:customStyle="1" w:styleId="CommentSubjectChar">
    <w:name w:val="Comment Subject Char"/>
    <w:basedOn w:val="CommentTextChar"/>
    <w:link w:val="CommentSubject"/>
    <w:rsid w:val="00C65BC2"/>
    <w:rPr>
      <w:b/>
      <w:bCs/>
    </w:rPr>
  </w:style>
  <w:style w:type="paragraph" w:styleId="ListParagraph">
    <w:name w:val="List Paragraph"/>
    <w:basedOn w:val="Normal"/>
    <w:uiPriority w:val="34"/>
    <w:qFormat/>
    <w:rsid w:val="00EF61DF"/>
    <w:pPr>
      <w:ind w:left="720"/>
      <w:contextualSpacing/>
    </w:pPr>
  </w:style>
  <w:style w:type="character" w:customStyle="1" w:styleId="BodyTextChar">
    <w:name w:val="Body Text Char"/>
    <w:aliases w:val="SCA Body Text Char,SCA Body Text1 Char,SCA Body Text2 Char,SCA Body Text11 Char,BodyText-JEA Char,BT-JEA Char"/>
    <w:basedOn w:val="DefaultParagraphFont"/>
    <w:link w:val="BodyText"/>
    <w:rsid w:val="000B7E82"/>
    <w:rPr>
      <w:sz w:val="24"/>
    </w:rPr>
  </w:style>
  <w:style w:type="paragraph" w:styleId="NormalWeb">
    <w:name w:val="Normal (Web)"/>
    <w:basedOn w:val="Normal"/>
    <w:uiPriority w:val="99"/>
    <w:unhideWhenUsed/>
    <w:rsid w:val="00A352E6"/>
    <w:pPr>
      <w:spacing w:before="100" w:beforeAutospacing="1" w:after="100" w:afterAutospacing="1"/>
    </w:pPr>
    <w:rPr>
      <w:sz w:val="24"/>
      <w:szCs w:val="24"/>
    </w:rPr>
  </w:style>
  <w:style w:type="character" w:styleId="Strong">
    <w:name w:val="Strong"/>
    <w:basedOn w:val="DefaultParagraphFont"/>
    <w:uiPriority w:val="22"/>
    <w:qFormat/>
    <w:rsid w:val="00A352E6"/>
    <w:rPr>
      <w:b/>
      <w:bCs/>
    </w:rPr>
  </w:style>
  <w:style w:type="character" w:styleId="FollowedHyperlink">
    <w:name w:val="FollowedHyperlink"/>
    <w:basedOn w:val="DefaultParagraphFont"/>
    <w:rsid w:val="00D628A3"/>
    <w:rPr>
      <w:color w:val="800080" w:themeColor="followedHyperlink"/>
      <w:u w:val="single"/>
    </w:rPr>
  </w:style>
  <w:style w:type="paragraph" w:styleId="Caption">
    <w:name w:val="caption"/>
    <w:basedOn w:val="Normal"/>
    <w:next w:val="Normal"/>
    <w:unhideWhenUsed/>
    <w:qFormat/>
    <w:rsid w:val="00A01222"/>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51462688">
      <w:bodyDiv w:val="1"/>
      <w:marLeft w:val="0"/>
      <w:marRight w:val="0"/>
      <w:marTop w:val="0"/>
      <w:marBottom w:val="0"/>
      <w:divBdr>
        <w:top w:val="none" w:sz="0" w:space="0" w:color="auto"/>
        <w:left w:val="none" w:sz="0" w:space="0" w:color="auto"/>
        <w:bottom w:val="none" w:sz="0" w:space="0" w:color="auto"/>
        <w:right w:val="none" w:sz="0" w:space="0" w:color="auto"/>
      </w:divBdr>
      <w:divsChild>
        <w:div w:id="1346903732">
          <w:marLeft w:val="0"/>
          <w:marRight w:val="0"/>
          <w:marTop w:val="0"/>
          <w:marBottom w:val="0"/>
          <w:divBdr>
            <w:top w:val="none" w:sz="0" w:space="0" w:color="auto"/>
            <w:left w:val="none" w:sz="0" w:space="0" w:color="auto"/>
            <w:bottom w:val="none" w:sz="0" w:space="0" w:color="auto"/>
            <w:right w:val="none" w:sz="0" w:space="0" w:color="auto"/>
          </w:divBdr>
          <w:divsChild>
            <w:div w:id="2062361504">
              <w:marLeft w:val="0"/>
              <w:marRight w:val="0"/>
              <w:marTop w:val="0"/>
              <w:marBottom w:val="0"/>
              <w:divBdr>
                <w:top w:val="none" w:sz="0" w:space="0" w:color="auto"/>
                <w:left w:val="none" w:sz="0" w:space="0" w:color="auto"/>
                <w:bottom w:val="none" w:sz="0" w:space="0" w:color="auto"/>
                <w:right w:val="none" w:sz="0" w:space="0" w:color="auto"/>
              </w:divBdr>
              <w:divsChild>
                <w:div w:id="744227613">
                  <w:marLeft w:val="0"/>
                  <w:marRight w:val="0"/>
                  <w:marTop w:val="0"/>
                  <w:marBottom w:val="0"/>
                  <w:divBdr>
                    <w:top w:val="none" w:sz="0" w:space="0" w:color="auto"/>
                    <w:left w:val="none" w:sz="0" w:space="0" w:color="auto"/>
                    <w:bottom w:val="none" w:sz="0" w:space="0" w:color="auto"/>
                    <w:right w:val="none" w:sz="0" w:space="0" w:color="auto"/>
                  </w:divBdr>
                  <w:divsChild>
                    <w:div w:id="2138063441">
                      <w:marLeft w:val="0"/>
                      <w:marRight w:val="0"/>
                      <w:marTop w:val="0"/>
                      <w:marBottom w:val="0"/>
                      <w:divBdr>
                        <w:top w:val="none" w:sz="0" w:space="0" w:color="auto"/>
                        <w:left w:val="none" w:sz="0" w:space="0" w:color="auto"/>
                        <w:bottom w:val="none" w:sz="0" w:space="0" w:color="auto"/>
                        <w:right w:val="none" w:sz="0" w:space="0" w:color="auto"/>
                      </w:divBdr>
                      <w:divsChild>
                        <w:div w:id="1066999683">
                          <w:marLeft w:val="0"/>
                          <w:marRight w:val="0"/>
                          <w:marTop w:val="0"/>
                          <w:marBottom w:val="0"/>
                          <w:divBdr>
                            <w:top w:val="none" w:sz="0" w:space="0" w:color="auto"/>
                            <w:left w:val="none" w:sz="0" w:space="0" w:color="auto"/>
                            <w:bottom w:val="none" w:sz="0" w:space="0" w:color="auto"/>
                            <w:right w:val="none" w:sz="0" w:space="0" w:color="auto"/>
                          </w:divBdr>
                          <w:divsChild>
                            <w:div w:id="50077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igh.pell@dep.state.fl.u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p.state.fl.us/air/emission/apds/default.as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FFC76-3F09-44BC-B5BF-58F36A619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7</Pages>
  <Words>2784</Words>
  <Characters>15923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18670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read_d</cp:lastModifiedBy>
  <cp:revision>10</cp:revision>
  <cp:lastPrinted>2013-10-31T18:20:00Z</cp:lastPrinted>
  <dcterms:created xsi:type="dcterms:W3CDTF">2013-10-28T16:12:00Z</dcterms:created>
  <dcterms:modified xsi:type="dcterms:W3CDTF">2013-11-01T14:12:00Z</dcterms:modified>
</cp:coreProperties>
</file>